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https://www.cnmc.es/expedientes/c146524</w:t>
      </w:r>
    </w:p>
    <w:p>
      <w:r>
        <w:t>Pages translated : 1</w:t>
      </w:r>
    </w:p>
    <w:p/>
    <w:p>
      <w:r>
        <w:rPr>
          <w:b/>
        </w:rPr>
        <w:t>[Pages 1–1]</w:t>
      </w:r>
    </w:p>
    <w:p>
      <w:r>
        <w:t xml:space="preserve">C/1465/24  </w:t>
        <w:br/>
        <w:t xml:space="preserve">MARCIAL CHACON E HIJOS / ELECTRA LA HONORINA SL – DECAIL ENERGIA SL  </w:t>
        <w:br/>
        <w:t xml:space="preserve">RESOLUTION  </w:t>
        <w:br/>
        <w:t xml:space="preserve">FILE MARCIAL CHACON E HIJOS / ELECTRA LA HONORINA SL – DECAIL ENERGIA SL  </w:t>
        <w:br/>
        <w:t xml:space="preserve">(C/1465/24)  </w:t>
        <w:br/>
        <w:t>COUNCIL. COMPETITION CHAMBER</w:t>
      </w:r>
    </w:p>
    <w:p>
      <w:r>
        <w:t xml:space="preserve">President  </w:t>
        <w:br/>
        <w:t>Ms. Cani Fernández Vicién</w:t>
      </w:r>
    </w:p>
    <w:p>
      <w:r>
        <w:t xml:space="preserve">Counselors  </w:t>
        <w:br/>
        <w:t xml:space="preserve">Ms. María Jesús Martín Martínez  </w:t>
        <w:br/>
        <w:t xml:space="preserve">Mr. Bernardo Lorenzo Almendros  </w:t>
        <w:br/>
        <w:t>Mr. Xabier Ormaetxea Garai</w:t>
      </w:r>
    </w:p>
    <w:p>
      <w:r>
        <w:t xml:space="preserve">Secretary of the Council  </w:t>
        <w:br/>
        <w:t>Mr. Miguel Bordiu Garcia-Ovies</w:t>
      </w:r>
    </w:p>
    <w:p>
      <w:r>
        <w:t>In Madrid, June 5, 2024</w:t>
      </w:r>
    </w:p>
    <w:p>
      <w:r>
        <w:t>The Competition Chamber has analyzed the concentration file processed in accordance with Law 15/2007, of July 3, on the Defense of Competition, consisting of the acquisition by C. MARCIAL CHACON E HIJOS, S.L. (MARCIAL CHACÓN) of all the shares of DECAIL ENERGÍA, S.L. (DECAIL) and subsequently of ELECTRA LA HONORINA, S.L. (HONORINA), and therefore, of the exclusive control of their electricity distribution networks. In accordance with the report and proposal submitted by the Directorate of Competition, the Competition Chamber has resolved, under the application of Article 57.2.a) of the aforementioned Law 15/2007, of July 3, to authorize the aforementioned concentration operation.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