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https://www.cnmc.es/expedientes/c146624</w:t>
      </w:r>
    </w:p>
    <w:p>
      <w:r>
        <w:t>Pages translated : 2</w:t>
      </w:r>
    </w:p>
    <w:p/>
    <w:p>
      <w:r>
        <w:rPr>
          <w:b/>
        </w:rPr>
        <w:t>[Pages 1–2]</w:t>
      </w:r>
    </w:p>
    <w:p>
      <w:r>
        <w:t xml:space="preserve">C/1466/24  </w:t>
        <w:br/>
        <w:t xml:space="preserve">CIRCET / COMFICA  </w:t>
        <w:br/>
        <w:t xml:space="preserve">RESOLUTION  </w:t>
        <w:br/>
        <w:t xml:space="preserve">FILE CIRCET / COMFICA  </w:t>
        <w:br/>
        <w:t xml:space="preserve">(C/1466/24)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May 29, 2024</w:t>
      </w:r>
    </w:p>
    <w:p>
      <w:r>
        <w:t>The Competition Chamber has analyzed the concentration file processed in accordance with Law 15/2007, of July 3, on the Defense of Competition, consisting of the acquisition of exclusive control by CIRCET IBERIA S.L.U., of an autonomous productive unit owned by COMFICA SOLUCIONES INTEGRALES S.A. In accordance with the report and proposal submitted by the Competition Directorate, the Competition Chamber has resolved, in application of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the non-compete clause included in the purchase agreement is subject to the regulations on agreements between companies in all that exceeds, both in its content and in its duration. All of this in accordance with what is indicated in the aforementioned report proposal of the Competition Directorate.</w:t>
      </w:r>
    </w:p>
    <w:p>
      <w:r>
        <w:t xml:space="preserve">National Commission of Markets and Competition 1 of 2  </w:t>
        <w:br/>
        <w:t xml:space="preserve">C/ Alcalá, 47 – 28014 Madrid - C/ Bolivia, 56 – 08018 Barcelona  </w:t>
        <w:br/>
        <w:t>www.cnmc.es</w:t>
      </w:r>
    </w:p>
    <w:p>
      <w:r>
        <w:t xml:space="preserve">C/1466/24  </w:t>
        <w:br/>
        <w:t xml:space="preserve">CIRCET / COMFICA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