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https://www.cnmc.es/expedientes/c146724</w:t>
      </w:r>
    </w:p>
    <w:p>
      <w:r>
        <w:t>Pages translated : 2</w:t>
      </w:r>
    </w:p>
    <w:p/>
    <w:p>
      <w:r>
        <w:rPr>
          <w:b/>
        </w:rPr>
        <w:t>[Pages 1–2]</w:t>
      </w:r>
    </w:p>
    <w:p>
      <w:r>
        <w:t xml:space="preserve">C/1467/24  </w:t>
        <w:br/>
        <w:t xml:space="preserve">MERZ / ACORDA BUSINESS  </w:t>
        <w:br/>
        <w:t xml:space="preserve">RESOLUTION  </w:t>
        <w:br/>
        <w:t xml:space="preserve">FILE MERZ / ACORDA BUSINESS  </w:t>
        <w:br/>
        <w:t xml:space="preserve">(C/1467/24)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5, 2024</w:t>
      </w:r>
    </w:p>
    <w:p>
      <w:r>
        <w:t>The Competition Chamber has analyzed the concentration file processed in accordance with Law 15/2007, of July 3, on the Defense of Competition, consisting of the acquisition of exclusive control by MERZ of (i) all rights, assets, and obligations related to the products Fampyra and Inbrija and the ARCUS technology platform of Acorda Therapeutics, Inc. and Civitas Therapeutics, Inc. (the Sellers); and (ii) all the share capital of the Sellers in Acorda Therapeutics Ireland Limited. In accordance with the report and proposal submitted by the Competition Directorate, the Competition Chamber has resolved, applying Article 57.2.a) of the aforementioned Law 15/2007, of July 3, to authorize the aforementioned concentration operation.</w:t>
      </w:r>
    </w:p>
    <w:p>
      <w:r>
        <w:t xml:space="preserve">Likewise, taking into account the practice of the CNMC and what is established in the Commission Communication on restrictions directly linked to the execution of a concentration and necessary for that purpose (2005/C 56/03); this Chamber considers that, in the present case, they are not deemed necessary or ancillary, remaining subject to the regulations on agreements between companies:  </w:t>
        <w:br/>
        <w:t xml:space="preserve">National Commission of Markets and Competition 1 of 2  </w:t>
        <w:br/>
        <w:t xml:space="preserve">C/ Alcalá, 47 – 28014 Madrid - C/ Bolivia, 56 – 08018 Barcelona  </w:t>
        <w:br/>
        <w:t>www.cnmc.es</w:t>
      </w:r>
    </w:p>
    <w:p>
      <w:r>
        <w:t xml:space="preserve">C/1467/24  </w:t>
        <w:br/>
        <w:t xml:space="preserve">MERZ / ACORDA BUSINESS  </w:t>
        <w:br/>
        <w:t xml:space="preserve">- Any limitation on the holding or possession of shares in companies that do not seek control, regardless of the percentage of the aforementioned shareholding, included in the non-compete clause,  </w:t>
        <w:br/>
        <w:t>- The duration of the confidentiality clause, in all that exceeds 2 years.</w:t>
      </w:r>
    </w:p>
    <w:p>
      <w:r>
        <w:t>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