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https://www.cnmc.es/expedientes/c146824</w:t>
      </w:r>
    </w:p>
    <w:p>
      <w:r>
        <w:t>Pages translated : 1</w:t>
      </w:r>
    </w:p>
    <w:p/>
    <w:p>
      <w:r>
        <w:rPr>
          <w:b/>
        </w:rPr>
        <w:t>[Pages 1–1]</w:t>
      </w:r>
    </w:p>
    <w:p>
      <w:r>
        <w:t xml:space="preserve">C/1468/24  </w:t>
        <w:br/>
        <w:t xml:space="preserve">PALEX / IZASA  </w:t>
        <w:br/>
        <w:t xml:space="preserve">RESOLUTION  </w:t>
        <w:br/>
        <w:t xml:space="preserve">FILE PALEX / IZASA  </w:t>
        <w:br/>
        <w:t xml:space="preserve">(C/1468/24)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June 5, 2024</w:t>
      </w:r>
    </w:p>
    <w:p>
      <w:r>
        <w:t>The Competition Chamber has analyzed the concentration file processed in accordance with Law 15/2007, of July 3, on the Defense of Competition, consisting of the acquisition of exclusive control by Palex Medical, S.A.U. (“PALEX”) of the four companies that make up the target company, Izasa Hospital, S.L.U., Izasa Scientific, S.L.U., Medicinália Cormédica - Mcmedical, Lda. and Izasa Scientific, Lda. (“IZASA”). These companies are currently controlled by Werfen, S.A. (“WERFEN”). Additionally, the WERFEN group will transfer certain assets, liabilities, and employees currently dedicated to the business of IZASA to PALEX. According to the report and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