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https://www.cnmc.es/expedientes/c146924</w:t>
      </w:r>
    </w:p>
    <w:p>
      <w:r>
        <w:t>Pages translated : 1</w:t>
      </w:r>
    </w:p>
    <w:p/>
    <w:p>
      <w:r>
        <w:rPr>
          <w:b/>
        </w:rPr>
        <w:t>[Pages 1–1]</w:t>
      </w:r>
    </w:p>
    <w:p>
      <w:r>
        <w:t xml:space="preserve">C/1469/24  </w:t>
        <w:br/>
        <w:t xml:space="preserve">CONDIS SUPERMERCATS AND PARTNERS / ROGES SUPERMERCATS  </w:t>
        <w:br/>
        <w:t xml:space="preserve">RESOLUTION  </w:t>
        <w:br/>
        <w:t xml:space="preserve">FILE CONDIS SUPERMERCATS AND PARTNERS / ROGES SUPERMERCATS  </w:t>
        <w:br/>
        <w:t xml:space="preserve">(C/1469/24)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June 5, 2024</w:t>
      </w:r>
    </w:p>
    <w:p>
      <w:r>
        <w:t>The Competition Chamber has analyzed the merger file processed in accordance with Law 15/2007, of July 3, on the Defense of Competition, consisting of the acquisition of joint control over Roges Supermercats S.L., by Condis Supermercats and three Individual Partners, who currently exercise exclusive control over the acquired entity. According to the report and the proposal submitted by the Directorate of Competition, the Competition Chamber has resolved, in application of Article 57.2.a) of the aforementioned Law 15/2007, of July 3, to authorize the said merger operation.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