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https://www.cnmc.es/expedientes/c147124</w:t>
      </w:r>
    </w:p>
    <w:p>
      <w:r>
        <w:t>Pages translated : 1</w:t>
      </w:r>
    </w:p>
    <w:p/>
    <w:p>
      <w:r>
        <w:rPr>
          <w:b/>
        </w:rPr>
        <w:t>[Pages 1–1]</w:t>
      </w:r>
    </w:p>
    <w:p>
      <w:r>
        <w:t>C/1471/24 DEACAPITAL / ÑAMING RESOLUTION FILE DEACAPITAL / ÑAMING (C/1471/24) COUNCIL. COMPETITION CHAMBER President Ms. Cani Fernández Vicién Councilors Ms. María Jesús Martín Martínez Mr. Bernardo Lorenzo Almendros Mr. Xabier Ormaetxea Garai Secretary of the Council Mr. Miguel Bordiu Garcia-Ovies In Madrid, on June 19, 2024 The Competition Chamber has analyzed the concentration file processed in accordance with Law 15/2007, of July 3, on the Defense of Competition, consisting of the acquisition by Dea Capital Alternative of exclusive control over Ñaming, S.L. and its subsidiary Resto Vite, S.L.U. In accordance with the report and proposal submitted by the Competition Directorate, the Competition Chamber has resolved, in application of article 57.2.a) of the aforementioned Law 15/2007, of July 3, to authorize the aforementioned concentration operation.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