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https://www.cnmc.es/expedientes/c147224</w:t>
      </w:r>
    </w:p>
    <w:p>
      <w:r>
        <w:t>Pages translated : 1</w:t>
      </w:r>
    </w:p>
    <w:p/>
    <w:p>
      <w:r>
        <w:rPr>
          <w:b/>
        </w:rPr>
        <w:t>[Pages 1–1]</w:t>
      </w:r>
    </w:p>
    <w:p>
      <w:r>
        <w:t xml:space="preserve">C/1472/24  </w:t>
        <w:br/>
        <w:t xml:space="preserve">GREENOAKS / KARNOV  </w:t>
        <w:br/>
        <w:t xml:space="preserve">RESOLUTION  </w:t>
        <w:br/>
        <w:t xml:space="preserve">FILE GREENOAKS / KARNOV  </w:t>
        <w:br/>
        <w:t xml:space="preserve">(C/1472/24)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June 10, 2024</w:t>
      </w:r>
    </w:p>
    <w:p>
      <w:r>
        <w:t>The Competition Chamber has analyzed the concentration file processed in accordance with Law 15/2007, of July 3, on the Defense of Competition, consisting of the acquisition by Greenoaks Capital Partners LLC, through the special purpose acquisition company Forseti III AB, of exclusive control of KARNOV GROUP AB, through the acquisition together with a co-investor of up to 100% of its share capital through a public acquisition offer (OPA) made public on May 3, 2024. In accordance with the report and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