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https://www.cnmc.es/expedientes/c147324</w:t>
      </w:r>
    </w:p>
    <w:p>
      <w:r>
        <w:t>Pages translated : 2</w:t>
      </w:r>
    </w:p>
    <w:p/>
    <w:p>
      <w:r>
        <w:rPr>
          <w:b/>
        </w:rPr>
        <w:t>[Pages 1–2]</w:t>
      </w:r>
    </w:p>
    <w:p>
      <w:r>
        <w:t xml:space="preserve">C/1473/24  </w:t>
        <w:br/>
        <w:t xml:space="preserve">GOODLIFE / AUDENS  </w:t>
        <w:br/>
        <w:t xml:space="preserve">RESOLUTION  </w:t>
        <w:br/>
        <w:t xml:space="preserve">FILE GOODLIFE / AUDENS  </w:t>
        <w:br/>
        <w:t xml:space="preserve">(C/1473/24)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June 19, 2024</w:t>
      </w:r>
    </w:p>
    <w:p>
      <w:r>
        <w:t>The Competition Chamber has analyzed the concentration file processed in accordance with Law 15/2007, of July 3, on the Defense of Competition, consisting of the acquisition by GoodLife Foods Spain, S.L., of exclusive control over Audens Group, S.L. In accordance with the report and proposal submitted by the Competition Directorate, the Competition Chamber has resolved, in application of article 57.2.a) of the aforementioned Law 15/2007, of July 3, to authorize the aforementioned concentration operation.</w:t>
      </w:r>
    </w:p>
    <w:p>
      <w:r>
        <w:t xml:space="preserve">Likewise, taking into account the practice of the CNMC and what is established in the Commission Communication on restrictions directly linked to the execution of a concentration and necessary for that purpose (2005/C 56/03); this Chamber indicates that, in the present case, they are not considered necessary or accessory, remaining subject to the regulations on agreements between companies:  </w:t>
        <w:br/>
        <w:t>- Any limitation on the possession of shares that do not seek control or participation, regardless of the percentage of such participation.</w:t>
      </w:r>
    </w:p>
    <w:p>
      <w:r>
        <w:t xml:space="preserve">C/1473/24  </w:t>
        <w:br/>
        <w:t xml:space="preserve">GOODLIFE / AUDENS  </w:t>
        <w:br/>
        <w:t>- The duration of the confidentiality clause, regarding information related to the acquired business, in all that exceeds 3 years in duration.</w:t>
      </w:r>
    </w:p>
    <w:p>
      <w:r>
        <w:t>All of this in accordance with what is indicated in the aforementioned report proposal of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C/1473/24  </w:t>
        <w:br/>
        <w:t xml:space="preserve">GOODLIFE / AUDENS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