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https://www.cnmc.es/expedientes/c147424</w:t>
      </w:r>
    </w:p>
    <w:p>
      <w:r>
        <w:t>Pages translated : 2</w:t>
      </w:r>
    </w:p>
    <w:p/>
    <w:p>
      <w:r>
        <w:rPr>
          <w:b/>
        </w:rPr>
        <w:t>[Pages 1–2]</w:t>
      </w:r>
    </w:p>
    <w:p>
      <w:r>
        <w:t xml:space="preserve">C/1474/24  </w:t>
        <w:br/>
        <w:t xml:space="preserve">DAMIRSA / TANATORIOS Y CREMATORIOS DE HUELVA  </w:t>
        <w:br/>
        <w:t xml:space="preserve">RESOLUTION  </w:t>
        <w:br/>
        <w:t xml:space="preserve">FILE DARMISA / TANATORIOS Y CREMATORIOS DE HUELVA  </w:t>
        <w:br/>
        <w:t xml:space="preserve">(C/1474/24)  </w:t>
        <w:br/>
        <w:t>COUNCIL. COMPETITION CHAMBER</w:t>
      </w:r>
    </w:p>
    <w:p>
      <w:r>
        <w:t xml:space="preserve">President  </w:t>
        <w:br/>
        <w:t>Ms. Cani Fernández Vicién</w:t>
      </w:r>
    </w:p>
    <w:p>
      <w:r>
        <w:t xml:space="preserve">Councilors  </w:t>
        <w:br/>
        <w:t xml:space="preserve">Ms. María Jesús Martín Martínez  </w:t>
        <w:br/>
        <w:t xml:space="preserve">Mr. Bernardo Lorenzo Almendros  </w:t>
        <w:br/>
        <w:t>Mr. Xabier Ormaetxea Garai</w:t>
      </w:r>
    </w:p>
    <w:p>
      <w:r>
        <w:t xml:space="preserve">Secretary of the Council  </w:t>
        <w:br/>
        <w:t>Mr. Miguel Bordiu Garcia-Ovies</w:t>
      </w:r>
    </w:p>
    <w:p>
      <w:r>
        <w:t>In Barcelona, on June 25, 2024</w:t>
      </w:r>
    </w:p>
    <w:p>
      <w:r>
        <w:t>The Competition Chamber has analyzed the concentration file processed in accordance with Law 15/2007, of July 3, on the Defense of Competition, consisting of the acquisition by DAMIRSA S.L. of exclusive control over TANATORIOS Y CREMATORIOS DE HUELVA S.L.U., and, in turn, joint control over its two subsidiaries (TANATORIO DE CARTAYA S.L and TANATORIO DEL ATLÁNTICO S.L), by indirectly acquiring 50% of their shares. According to the report and proposal submitted by the Competition Directorate, the Competition Chamber has resolved, in application of Article 57.2.a) of the aforementioned Law 15/2007, of July 3, to authorize the said concentration operation.</w:t>
      </w:r>
    </w:p>
    <w:p>
      <w:r>
        <w:t>Likewise, taking into account the practice of the CNMC and what is established in the Commission Communication on restrictions directly linked to the execution of a concentration and necessary for that purpose (2005/C 56/03); this Chamber points out that, in the present case, the non-compete clause exceeds what is stated in the aforementioned Communication both in terms of duration (exceeds two years) and its geographical scope (in what exceeds the geographical areas in which the acquired entity was operating) therefore it is considered that they go beyond what is reasonably required by the notified concentration operation, thus remaining subject to the general regulations applicable to agreements between companies. All of this in accordance with what is indicated in the aforementioned report proposal from the Competition Directorate.</w:t>
      </w:r>
    </w:p>
    <w:p>
      <w:r>
        <w:t xml:space="preserve">This Resolution shall be communicated to the Competition Directorate of the National Commission of Markets and Competition and notified to the interested party, informing them that it concludes the administrative process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