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https://www.cnmc.es/expedientes/c147524</w:t>
      </w:r>
    </w:p>
    <w:p>
      <w:r>
        <w:t>Pages translated : 1</w:t>
      </w:r>
    </w:p>
    <w:p/>
    <w:p>
      <w:r>
        <w:rPr>
          <w:b/>
        </w:rPr>
        <w:t>[Pages 1–1]</w:t>
      </w:r>
    </w:p>
    <w:p>
      <w:r>
        <w:t xml:space="preserve">C/1475/24  </w:t>
        <w:br/>
        <w:t xml:space="preserve">ESTEVE / PERRIGO MEDICINES BUSINESS  </w:t>
        <w:br/>
        <w:t xml:space="preserve">RESOLUTION  </w:t>
        <w:br/>
        <w:t xml:space="preserve">FILE ESTEVE / PERRIGO MEDICINES BUSINESS  </w:t>
        <w:br/>
        <w:t xml:space="preserve">(C/1475/24)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In Madrid, on June 19, 2024</w:t>
      </w:r>
    </w:p>
    <w:p>
      <w:r>
        <w:t>The Competition Chamber has analyzed the merger file processed in accordance with Law 15/2007, of July 3, on the Defense of Competition, consisting of the acquisition of exclusive control by Esteve Healthcare, S.L., over the current business of medicines for the treatment of rare diseases of Perrigo Company plc. In accordance with the report and the proposal submitted by the Directorate of Competition, the Competition Chamber has resolved, applying Article 57.2.a) of the aforementioned Law 15/2007, of July 3, to authorize the aforementioned merger operation.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