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https://www.cnmc.es/expedientes/c147624</w:t>
      </w:r>
    </w:p>
    <w:p>
      <w:r>
        <w:t>Pages translated : 1</w:t>
      </w:r>
    </w:p>
    <w:p/>
    <w:p>
      <w:r>
        <w:rPr>
          <w:b/>
        </w:rPr>
        <w:t>[Pages 1–1]</w:t>
      </w:r>
    </w:p>
    <w:p>
      <w:r>
        <w:t xml:space="preserve">C/1476/24  </w:t>
        <w:br/>
        <w:t xml:space="preserve">NEXXUS / CRETA  </w:t>
        <w:br/>
        <w:t xml:space="preserve">RESOLUTION  </w:t>
        <w:br/>
        <w:t xml:space="preserve">FILE NEXXUS / CRETA  </w:t>
        <w:br/>
        <w:t xml:space="preserve">(C/1476/24)  </w:t>
        <w:br/>
        <w:t xml:space="preserve">COUNCIL. COMPETITION CHAMBER  </w:t>
        <w:br/>
        <w:t xml:space="preserve">President  </w:t>
        <w:br/>
        <w:t xml:space="preserve">Ms. Cani Fernández Vicién  </w:t>
        <w:br/>
        <w:t xml:space="preserve">Counselors  </w:t>
        <w:br/>
        <w:t xml:space="preserve">Ms. María Jesús Martín Martínez  </w:t>
        <w:br/>
        <w:t xml:space="preserve">Mr. Bernardo Lorenzo Almendros  </w:t>
        <w:br/>
        <w:t xml:space="preserve">Mr. Xabier Ormaetxea Garai  </w:t>
        <w:br/>
        <w:t xml:space="preserve">Secretary of the Council  </w:t>
        <w:br/>
        <w:t xml:space="preserve">Mr. Miguel Bordiu Garcia-Ovies  </w:t>
        <w:br/>
        <w:t xml:space="preserve">In Barcelona, on June 25, 2024  </w:t>
        <w:br/>
        <w:t xml:space="preserve">The Competition Chamber has analyzed the merger file processed in accordance with Law 15/2007, of July 3, on the Defense of Competition, consisting of the acquisition by Nexxus Iberia Private Equity Fund II, F.C.R., through Financial Fusion Solutions, S.L., of exclusive control of Creta Global, S.L. and, in turn, its subsidiary Contenur, S.L. In accordance with the report and proposal submitted by the Competition Directorate, the Competition Chamber has resolved, in application of Article 57.2.a) of the aforementioned Law 15/2007, of July 3, to authorize the aforementioned merger operation.  </w:t>
        <w:br/>
        <w:t xml:space="preserve">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  </w:t>
        <w:br/>
        <w:t xml:space="preserve">National Commission on Markets and Competition 1 of 1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