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https://www.cnmc.es/expedientes/c147724</w:t>
      </w:r>
    </w:p>
    <w:p>
      <w:r>
        <w:t>Pages translated : 1</w:t>
      </w:r>
    </w:p>
    <w:p/>
    <w:p>
      <w:r>
        <w:rPr>
          <w:b/>
        </w:rPr>
        <w:t>[Pages 1–1]</w:t>
      </w:r>
    </w:p>
    <w:p>
      <w:r>
        <w:t xml:space="preserve">C/1477/24  </w:t>
        <w:br/>
        <w:t xml:space="preserve">AVRIL INDUSTRIE SAS / METEX-MNG ASSETS  </w:t>
        <w:br/>
        <w:t xml:space="preserve">RESOLUTION  </w:t>
        <w:br/>
        <w:t xml:space="preserve">FILE AVRIL INDUSTRIE SAS / METEX-MNG ASSETS  </w:t>
        <w:br/>
        <w:t xml:space="preserve">(C/1477/24)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July 3, 2024</w:t>
      </w:r>
    </w:p>
    <w:p>
      <w:r>
        <w:t>The Competition Chamber has analyzed the concentration file processed in accordance with Law 15/2007, of July 3, on the Defense of Competition, consisting of the acquisition by AVRIL Industrie SAS of exclusive control over a set of tangible and intangible assets related to the manufacture and marketing of amino acids intended for animal feed from Metex Noovistago and Metabolic Explorer. In accordance with the report and proposal submitted by the Directorate of Competition, the Competition Chamber has resolved, under the application of Article 57.2.a) of the aforementioned Law 15/2007, of July 3, to authorize the said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