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https://www.cnmc.es/expedientes/c147824</w:t>
      </w:r>
    </w:p>
    <w:p>
      <w:r>
        <w:t>Pages translated : 1</w:t>
      </w:r>
    </w:p>
    <w:p/>
    <w:p>
      <w:r>
        <w:rPr>
          <w:b/>
        </w:rPr>
        <w:t>[Pages 1–1]</w:t>
      </w:r>
    </w:p>
    <w:p>
      <w:r>
        <w:t xml:space="preserve">C/1478/24  </w:t>
        <w:br/>
        <w:t xml:space="preserve">AMERRA / AVRAMAR  </w:t>
        <w:br/>
        <w:t xml:space="preserve">RESOLUTION  </w:t>
        <w:br/>
        <w:t xml:space="preserve">FILE AMERRA / AVRAMAR  </w:t>
        <w:br/>
        <w:t xml:space="preserve">(C/1478/24)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July 3, 2024  </w:t>
        <w:br/>
        <w:t xml:space="preserve">The Competition Chamber has analyzed the concentration file processed in accordance with Law 15/2007, of July 3, on the Defense of Competition, consisting of the acquisition of exclusive control of Avramar Seafood, S.L. (“AVRAMAR”) by Amerra Capital Management LLC (“AMERRA”), which already previously held joint control over AVRAMAR, together with MDC Industry Holding Company LLC. The operation therefore results in a change in the nature of the control of AVRAMAR. In accordance with the report and proposal submitted by the Directorate of Competition, the Competition Chamber has resolved, under the application of Article 57.2.a) of the aforementioned Law 15/2007, of July 3, to authorize the aforementioned concentration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