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https://www.cnmc.es/expedientes/c148024</w:t>
      </w:r>
    </w:p>
    <w:p>
      <w:r>
        <w:t>Pages translated : 9</w:t>
      </w:r>
    </w:p>
    <w:p/>
    <w:p>
      <w:r>
        <w:rPr>
          <w:b/>
        </w:rPr>
        <w:t>[Pages 1–3]</w:t>
      </w:r>
    </w:p>
    <w:p>
      <w:r>
        <w:t xml:space="preserve">C/1480/24  </w:t>
        <w:br/>
        <w:t xml:space="preserve">BONDALTI CHEMICALS / ERCROS  </w:t>
        <w:br/>
        <w:t xml:space="preserve">RESOLUTION  </w:t>
        <w:br/>
        <w:t xml:space="preserve">FILE BONDALTI CHEMICALS / ERCROS  </w:t>
        <w:br/>
        <w:t xml:space="preserve">(C/1480/24)  </w:t>
        <w:br/>
        <w:t xml:space="preserve">BOARD. COMPETITION CHAMBER  </w:t>
        <w:br/>
        <w:t xml:space="preserve">Chairwoman  </w:t>
        <w:br/>
        <w:t xml:space="preserve">Ms. Cani Fernández Vicién  </w:t>
        <w:br/>
        <w:t xml:space="preserve">Councillors  </w:t>
        <w:br/>
        <w:t xml:space="preserve">Ms. Pilar Sánchez Núñez  </w:t>
        <w:br/>
        <w:t xml:space="preserve">Mr. Rafael Iturriaga Nieva  </w:t>
        <w:br/>
        <w:t xml:space="preserve">Mr. Pere Soler Campins  </w:t>
        <w:br/>
        <w:t xml:space="preserve">Ms. María Vidales Picazo  </w:t>
        <w:br/>
        <w:t xml:space="preserve">Secretary of the Board  </w:t>
        <w:br/>
        <w:t xml:space="preserve">Mr. Miguel Bordiu García-Ovies  </w:t>
        <w:br/>
        <w:t xml:space="preserve">In Madrid, on October 30, 2025  </w:t>
        <w:br/>
        <w:t>The Competition Chamber of the National Commission on Markets and Competition, with the composition stated, pursuant to Article 58 of Law 15/2007, of July 3, on the Defense of Competition (LDC), has issued a resolution in file C/1480/24 BONDALTI CHEMICALS / ERCROS, regarding the concentration operation consisting of the unsolicited public takeover bid (OPA) by BONDALTI CHEMICALS S.A., directed at 100% of the share capital of ERCROS, S.A.</w:t>
      </w:r>
    </w:p>
    <w:p>
      <w:r>
        <w:t xml:space="preserve">1. BACKGROUND  </w:t>
        <w:br/>
        <w:t xml:space="preserve">(1) On July 9, 2024, the notification regarding the concentration operation consisting of the unsolicited public takeover bid (OPA) by BONDALTI CHEMICALS S.A. (BONDALTI), directed at 100% of the share capital of ERCROS, S.A. (ERCROS), was received by the National Commission on Markets and Competition (CNMC).  </w:t>
        <w:br/>
        <w:t xml:space="preserve">(2) On the dates of July 10, 12, and 18, 2024, August 6, 8, and 27, September 3, 4, 19, and 20, October 14 and 25, and November 4, 5, and 21, 2024, pursuant to Articles 39.1 and 55.6 of Law 15/2007, of July 3, on the Defense of Competition (LDC) in relation to the duty of cooperation and information of natural or legal persons and public bodies, the Competition Directorate (DC) requested necessary information for the proper assessment of the concentration from third-party operators, as well as on August 27, 2024, October 25, and November 4, 2024 from the Notifying Party. Pursuant to the provisions of Article 37.1.b) of the LDC, it was agreed that these information requests would suspend the maximum deadlines for resolution.  </w:t>
        <w:br/>
        <w:t xml:space="preserve">(3) On December 5, 2024, the last response to the information requests was received, resuming the computation of the maximum deadlines for resolution.  </w:t>
        <w:br/>
        <w:t xml:space="preserve">(4) The Notifying Party, under the provisions of Article 59 of the LDC and Article 69 of Royal Decree 261/2008, of February 22, which approves the Competition Defense Regulation (RDC), submitted on December 11, 2024, a proposal for commitments, which was deemed insufficient to resolve the identified competition risks.  </w:t>
        <w:br/>
        <w:t xml:space="preserve">(5) In accordance with Article 57.1 of the LDC, the DC formed a file and prepared the corresponding report on the operation along with a resolution proposal.  </w:t>
        <w:br/>
        <w:t xml:space="preserve">(6) The CNMC Board, on December 18, 2024, agreed to initiate the second phase of the procedure in accordance with Article 57.2.c) of the LDC, considering that the aforementioned concentration operation could hinder the maintenance of competition in some of the considered markets.  </w:t>
        <w:br/>
        <w:t xml:space="preserve">(7) In application of Article 58.1 of the LDC, the DC prepared a brief note on the concentration which, once the confidential aspects were resolved, was made public and communicated to the natural or legal persons that could be affected and to the Consumers and Users Council, so that they could submit their allegations within a period of 10 days.  </w:t>
        <w:br/>
        <w:t xml:space="preserve">(8) According to the provisions of Article 66 of the RDC, the CNMC Board resolved to accept, on January 22, 2025, the participation as an interested party of ERCROS.  </w:t>
        <w:br/>
        <w:t xml:space="preserve">(9) On December 26, 2024, January 29, 2025, February 17, and March 12, 2025, pursuant to Articles 39.1 and 55.6 of the LDC, the DC requested necessary information for the proper assessment of the concentration from third-party operators, as well as on December 26, 2024 from the Notifying Party. Pursuant to the provisions of Article 37.1.b) of the LDC, it was agreed that these information requests would suspend the maximum deadlines for resolution. On March 31, 2025, the last response to the information requests was received, resuming the computation of the maximum deadlines for resolution.  </w:t>
        <w:br/>
        <w:t xml:space="preserve">(10) On April 2, 2025, pursuant to Articles 39.1 and 55.6 of the LDC, in relation to the duty of cooperation and information of natural or legal persons and public bodies, the DC requested necessary information for the proper assessment of the concentration from third-party operators. According to the provisions of Article 37.1.b) of the LDC, it was agreed that these information requests would suspend the maximum deadlines for resolution.  </w:t>
        <w:br/>
        <w:t xml:space="preserve">(11) The Notifying Party, under the provisions of Article 59 of the LDC and Article 69 of the RDC, submitted on April 11, 2025, a new proposal for commitments.  </w:t>
        <w:br/>
        <w:t xml:space="preserve">(12) On April 24 and 28, 2025, pursuant to Articles 39.1 and 55.6 of the LDC, the DC requested necessary information for the proper assessment of the commitments presented by the parties from third-party operators. On May 20, 2025, the last response to the information requests was received, resuming the computation of the maximum deadlines for resolution.  </w:t>
        <w:br/>
        <w:t xml:space="preserve">(13) On May 27, 2025, the DC prepared a statement of facts (PCH), in application of Article 58.2 of the LDC, which included the possible obstacles to competition arising from the concentration and was notified on that date to the interested parties so that they could submit allegations within a period of 10 days. On June 17, 2025, allegations from BONDALTI were received regarding the same.  </w:t>
        <w:br/>
        <w:t xml:space="preserve">(14) On June 30, 2025, having detected an overestimation in the pivotality analysis included in the PCH, a new version of the same was notified to the parties. On July 7, 2025, allegations from BONDALTI were received.  </w:t>
        <w:br/>
        <w:t xml:space="preserve">(15) On July 7, 2025, BONDALTI submitted a modified version of the commitments presented on April 11, 2025.  </w:t>
        <w:br/>
        <w:t xml:space="preserve">(16) On July 8, the DC requested necessary information for the proper assessment of the commitments presented by the parties from third-party operators. On July 30, the deadline for receiving responses ended, resuming the computation of the maximum deadlines for resolution.  </w:t>
        <w:br/>
        <w:t xml:space="preserve">(17) On September 11 and 17 and October 6, 2025, the DC requested from the parties necessary information for the proper assessment of the commitments presented. On October 20, 2025, the deadline for receiving responses ended, resuming the computation of the maximum deadlines for resolution.  </w:t>
        <w:br/>
        <w:t xml:space="preserve">(18) On October 10 and 21, 2025, BONDALTI submitted two modified versions of the commitments presented on April 11, 2025.  </w:t>
        <w:br/>
        <w:t>(19) In view of the above, the deadline for resolving the reference file is November 3, 2025, inclusive. After this date, the notified operation will be considered tacitly authorized.</w:t>
      </w:r>
    </w:p>
    <w:p>
      <w:r>
        <w:rPr>
          <w:b/>
        </w:rPr>
        <w:t>[Pages 4–6]</w:t>
      </w:r>
    </w:p>
    <w:p>
      <w:r>
        <w:t xml:space="preserve">C/1480/24  </w:t>
        <w:br/>
        <w:t>BONDALTI CHEMICALS / ERCROS</w:t>
      </w:r>
    </w:p>
    <w:p>
      <w:r>
        <w:t>(20) On October 22, 2025, the DC submitted its proposed report to the Board of the CNMC, in accordance with the provisions of Article 58 of Law 15/2007, of July 3, on the Defense of Competition.</w:t>
      </w:r>
    </w:p>
    <w:p>
      <w:r>
        <w:t>(21) The Competition Chamber of the CNMC Board deliberated and ruled on the matter in its meeting on October 30, 2025.</w:t>
      </w:r>
    </w:p>
    <w:p>
      <w:r>
        <w:t>2. LEGAL BASIS</w:t>
      </w:r>
    </w:p>
    <w:p>
      <w:r>
        <w:t>2.1. In accordance with Article 58.4 of the LDC, based on the final resolution proposal of the Competition Directorate, the Competition Chamber shall, in the second phase, adopt the decision in which it may: a) authorize the concentration; b) condition the authorization of the concentration on the fulfillment of certain commitments proposed by the notifying parties or conditions; c) prohibit the concentration; or d) agree to archive the proceedings in the cases provided for in the Law.</w:t>
      </w:r>
    </w:p>
    <w:p>
      <w:r>
        <w:t>2.2. In accordance with the provisions of Article 59 of the LDC, in order to resolve the obstacles to the maintenance of effective competition that may arise from the notified concentration operation, during the first phase the Notifying Party formally presented a behavioral commitment for the sodium hypochlorite market that the DC considered insufficient to resolve the preliminarily identified competition problems.</w:t>
      </w:r>
    </w:p>
    <w:p>
      <w:r>
        <w:t>On April 11, 2025, the Notifying Party presented a new behavioral commitment essentially consisting of supplying at cost a maximum of 50,000 tons annually for 15 years to one or two operators at the choice of the CNMC, although the Notifying Party proposed [CONFIDENTIAL] as potential buyers. The report considered these commitments insufficient to resolve the identified problems, mainly due to (i) the lack of effectiveness of similar supply commitments in the past; (ii) the difficulty and complexity of monitoring them; (iii) the insufficient nature of the quantities presented to eliminate the overlaps and risks to competition detected; (iv) as well as the negative assessment of them by the consulted operators, with the exception of the two buyers proposed in the commitment by the Notifying Party.</w:t>
      </w:r>
    </w:p>
    <w:p>
      <w:r>
        <w:t xml:space="preserve">2 See the proposal of December 11, 2024 (pages 4950 to 4973). The commitment essentially consists of two fixed-term supply contracts (5 years).  </w:t>
        <w:br/>
        <w:t xml:space="preserve">3 [CONFIDENTIAL].  </w:t>
        <w:br/>
        <w:t>4 According to the Notifying Party, this period coincides with the useful life and the usual amortization periods of an integrated chlor-alkali plant.</w:t>
      </w:r>
    </w:p>
    <w:p>
      <w:r>
        <w:t xml:space="preserve">C/1480/24  </w:t>
        <w:br/>
        <w:t>BONDALTI CHEMICALS / ERCROS</w:t>
      </w:r>
    </w:p>
    <w:p>
      <w:r>
        <w:t>On July 7, 2025, the Notifying Party presented a modification of the commitment in which the volume to be supplied by BONDALTI is fundamentally increased to 60,000 tons (30,000 tons per buyer), with a series of guarantees aimed at promoting and incentivizing the purchase of said quantities by the two buyers. Furthermore, the duration of the commitment is extended to an initial 5 years, extendable for up to two additional periods of 5 years each. In addition, the modification of the commitment includes the figure of a monitoring trustee. Other aspects of the contract already present in the Previous Proposal are maintained (notably, the delivery conditions, the pass-through cost sales formula, or submission to arbitration before the CNMC).</w:t>
      </w:r>
    </w:p>
    <w:p>
      <w:r>
        <w:t>On October 10 and 21, 2025, the Notifying Party presented a modification of the commitment, which is fully included in Annex 2 of the Report and Resolution Proposal prepared by the DC, in which the volume to be supplied by BONDALTI is increased to 85,000 tons and the supply is extended to two additional companies ([CONFIDENTIAL]) to those included in the second proposal of commitments ([CONFIDENTIAL]).</w:t>
      </w:r>
    </w:p>
    <w:p>
      <w:r>
        <w:t>Prior to the analysis of the sufficiency of the final commitments of October 21, 2025, to resolve the obstacles to effective competition posed by the operation, certain general considerations are made regarding the objectives of concentration control.</w:t>
      </w:r>
    </w:p>
    <w:p>
      <w:r>
        <w:t>Article 59 of the LDC provides that when a concentration may give rise to obstacles to the maintenance of effective competition, the notifying parties, on their own initiative or at the request of the CNMC, may propose commitments to resolve them.</w:t>
      </w:r>
    </w:p>
    <w:p>
      <w:r>
        <w:t>The LDC assigns to the Competition Directorate the authority to examine and evaluate these remedies and to the CNMC Board the authority to rule on them, preserving the possibility for the CNMC to establish conditions if it is deemed that the proposed commitments are not adequate to resolve the identified competition problems.</w:t>
      </w:r>
    </w:p>
    <w:p>
      <w:r>
        <w:t>This model allows for the safeguarding of competitive conditions in the market while respecting the principles of proportionality and minimal intervention by the authority when conditioning concentration operations.</w:t>
      </w:r>
    </w:p>
    <w:p>
      <w:r>
        <w:t xml:space="preserve">5 Pages 8213 to 8268.  </w:t>
        <w:br/>
        <w:t>6 Pages 8837 to 8875.</w:t>
      </w:r>
    </w:p>
    <w:p>
      <w:r>
        <w:t xml:space="preserve">C/1480/24  </w:t>
        <w:br/>
        <w:t>BONDALTI CHEMICALS / ERCROS</w:t>
      </w:r>
    </w:p>
    <w:p>
      <w:r>
        <w:t>Regarding proportionality, it is important to remember that the possible commitments should not go beyond the problems caused by the notified operation, since their objective is not to redefine the structure of the companies or the markets in order to resolve pre-existing competition problems or those unrelated to the operation. However, this does not mean that pre-existing competition problems cannot be subject to commitments insofar as the concentration operation exacerbates them.</w:t>
      </w:r>
    </w:p>
    <w:p>
      <w:r>
        <w:t>In general, it is preferable for the CNMC to opt for the commitments offered by the Notifying Party, provided they are adequate, rather than the legal possibility of imposing conditions because, having been offered voluntarily, their execution and monitoring are facilitated.</w:t>
      </w:r>
    </w:p>
    <w:p>
      <w:r>
        <w:t>Section 9 of the European Commission's Communication on acceptable solutions in concentration operations states the following: “the commitments must entirely eliminate the competition problems and must be complete and effective from all points of view. On the other hand, the commitments must be capable of being effectively enforced in a short period, as the competitive conditions of the market will not be maintained until the commitments have been fulfilled.”</w:t>
      </w:r>
    </w:p>
    <w:p>
      <w:r>
        <w:t xml:space="preserve">Assessment of the operation with the proposed commitments  </w:t>
        <w:br/>
        <w:t>The assessment of the new version of the commitments by the Competition Directorate is positive, considering that the modifications presented eliminate the detected risks to competition.</w:t>
      </w:r>
    </w:p>
    <w:p>
      <w:r>
        <w:t>Preliminarily, it is necessary to point out that the market investigation has not allowed for the identification of an alternative structural commitment that could resolve the detected competition risks. In this regard, it should be noted that the parties manufacture multiple products in which no competition risks have been detected, and that it is impossible to segregate the production units of hypochlorite independently from the other chlorine-derived products produced in those factories.</w:t>
      </w:r>
    </w:p>
    <w:p>
      <w:r>
        <w:t>In this context, the modifications introduced by BONDALTI in the supply contract allow for the resolution of the detected competition problems in the sodium hypochlorite market in a proportional, agile, and effective manner. In particular, the extension of the supply contract to a greater number of manufacturers, the possibility of loading hypochlorite at the facilities in Torrelavega and Vilaseca...</w:t>
      </w:r>
    </w:p>
    <w:p>
      <w:r>
        <w:rPr>
          <w:b/>
        </w:rPr>
        <w:t>[Pages 7–9]</w:t>
      </w:r>
    </w:p>
    <w:p>
      <w:r>
        <w:t xml:space="preserve">C/1480/24  </w:t>
        <w:br/>
        <w:t>BONDALTI CHEMICALS / ERCROS</w:t>
      </w:r>
    </w:p>
    <w:p>
      <w:r>
        <w:t>and the increase in the annual tons that the resulting entity will have to sell to third parties at cost price effectively resolves the problems attributed to the previous version of commitments presented, allowing for the elimination of the identified competition risks.</w:t>
      </w:r>
    </w:p>
    <w:p>
      <w:r>
        <w:t>First, the increase in the quantities of hypochlorite eliminates the pivotal nature of the resulting entity and greatly reduces the overlap between BONDALTI's Torrelavega plant and ERCROS's plants. Secondly, by extending the sale of hypochlorite at cost to a greater number of manufacturers, as well as including the Vila Seca plant as a delivery point, it facilitates and incentivizes operators to acquire all the hypochlorite made available to them. Likewise, it favors the entry of operators into the isochrones where they were not currently present, replacing ERCROS, given the distance of their facilities from the influence isochrones of the parties.</w:t>
      </w:r>
    </w:p>
    <w:p>
      <w:r>
        <w:t>Secondly, the extension of the supply obligation to the main hypochlorite manufacturers on the peninsula minimizes the distortions among competitors that could arise from the commitments proposal presented by the Notifying Party in the hypochlorite market and incentivizes the purchase of all 85,000 tons made available to third parties at cost price. Thus, it guarantees that in the event that any buyer opts not to acquire all the hypochlorite made available to them, there are three other operators willing to acquire a greater number of tons.</w:t>
      </w:r>
    </w:p>
    <w:p>
      <w:r>
        <w:t>Thirdly, the figure and functions of the supervising administrator are maintained, who will carry out the monitoring of compliance with the commitment on a day-to-day basis and will be responsible for informing the CNMC of compliance with it, as well as any incidents, contributing to the better exercise of the CNMC's oversight tasks. Likewise, the arbitration provided before [CONFIDENTIAL], in the event of disputes regarding the application of the offer, represents an additional mechanism that will facilitate the execution and effectiveness of the commitment.</w:t>
      </w:r>
    </w:p>
    <w:p>
      <w:r>
        <w:t>Finally, the duration of the commitment is considered adequate for the stability it will provide to the commitment. [CONFIDENTIAL].</w:t>
      </w:r>
    </w:p>
    <w:p>
      <w:r>
        <w:t>For all these reasons, it is considered that the present package of commitments is sufficient, efficient, effective, and proportionate to resolve the competition risks arising from the present concentration operation.</w:t>
      </w:r>
    </w:p>
    <w:p>
      <w:r>
        <w:t xml:space="preserve">C/1480/24  </w:t>
        <w:br/>
        <w:t>BONDALTI CHEMICALS / ERCROS</w:t>
      </w:r>
    </w:p>
    <w:p>
      <w:r>
        <w:t>2.3. Having analyzed the Report and Proposal prepared by the Competition Directorate and in accordance with the aforementioned, this Chamber proposes to subordinate the present concentration C/1480/24 to the fulfillment of the commitments presented by BONDALTI CHEMICALS, S.A. on October 21, 2025, and reproduced in Annex 2 of the Report and Proposal, which must be fulfilled by the notifying party.</w:t>
      </w:r>
    </w:p>
    <w:p>
      <w:r>
        <w:t>2.4. In accordance with the principle of self-assessment, as set out in recital 21 of Council Regulation (EC) No. 139/2004 of January 20, 2004, on the control of concentrations between undertakings and the Commission Communication on restrictions directly linked to the implementation of a concentration and necessary for that purpose, it is up to the affected companies themselves to determine to what extent their agreements are ancillary to a concentration operation.</w:t>
      </w:r>
    </w:p>
    <w:p>
      <w:r>
        <w:t>For all of which, having regard to the cited legal provisions and those of general application, the Competition Chamber of the National Commission on Markets and Competition</w:t>
      </w:r>
    </w:p>
    <w:p>
      <w:r>
        <w:t>3. RESOLVES</w:t>
      </w:r>
    </w:p>
    <w:p>
      <w:r>
        <w:t>First. In accordance with Article 58.4b) of Law 15/2007, of July 3, on the Defense of Competition, to subordinate the authorization of concentration C/1480/24 BONDALTI CHEMICALS / ERCROS to the fulfillment of the commitments presented by BONDALTI CHEMICALS, S.A. and reproduced in Annex 2 of the Report and Proposal, and in this resolution.</w:t>
      </w:r>
    </w:p>
    <w:p>
      <w:r>
        <w:t>Second. In accordance with the provisions of Article 58.6 of the LDC, this resolution shall be executive when any of the assumptions provided for in that article are met.</w:t>
      </w:r>
    </w:p>
    <w:p>
      <w:r>
        <w:t>Third. The non-compliance with the provisions of this resolution shall be considered a very serious infringement according to the provisions of Article 62.4.c) of the LDC.</w:t>
      </w:r>
    </w:p>
    <w:p>
      <w:r>
        <w:t>Fourth. By virtue of the provisions of Article 35.2.c) of the LDC, the oversight of this resolution is entrusted to the Competition Directorate.</w:t>
      </w:r>
    </w:p>
    <w:p>
      <w:r>
        <w:t>This resolution shall be communicated to the Competition Directorate and the Minister of Economy, Trade and Business, as provided in Article 58.5 of the LDC. Likewise, it shall be notified to the interested parties, informing them that this resolution will not be effective, nor executive, nor will it conclude the administrative procedure unless one of the two assumptions provided for in letters a) or b) of Article 58.6 of the LDC occurs and that against it, if the administrative route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