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https://www.cnmc.es/expedientes/c148124</w:t>
      </w:r>
    </w:p>
    <w:p>
      <w:r>
        <w:t>Pages translated : 1</w:t>
      </w:r>
    </w:p>
    <w:p/>
    <w:p>
      <w:r>
        <w:rPr>
          <w:b/>
        </w:rPr>
        <w:t>[Pages 1–1]</w:t>
      </w:r>
    </w:p>
    <w:p>
      <w:r>
        <w:t xml:space="preserve">C/1481/24  </w:t>
        <w:br/>
        <w:t xml:space="preserve">SONEPAR / COVAMANI-MATEL  </w:t>
        <w:br/>
        <w:t xml:space="preserve">RESOLUTION  </w:t>
        <w:br/>
        <w:t xml:space="preserve">FILE SONEPAR / COVAMANI - MATEL  </w:t>
        <w:br/>
        <w:t xml:space="preserve">(C/1481/24)  </w:t>
        <w:br/>
        <w:t xml:space="preserve">COUNCIL. COMPETITION CHAMBER  </w:t>
        <w:br/>
        <w:t xml:space="preserve">President  </w:t>
        <w:br/>
        <w:t xml:space="preserve">Ms. Cani Fernández Vicién  </w:t>
        <w:br/>
        <w:t xml:space="preserve">Counselors  </w:t>
        <w:br/>
        <w:t xml:space="preserve">Ms. María Jesús Martín Martínez  </w:t>
        <w:br/>
        <w:t xml:space="preserve">Mr. Bernardo Lorenzo Almendros  </w:t>
        <w:br/>
        <w:t xml:space="preserve">Mr. Xabier Ormaetxea Garai  </w:t>
        <w:br/>
        <w:t xml:space="preserve">Secretary of the Council  </w:t>
        <w:br/>
        <w:t xml:space="preserve">Mr. Miguel Bordiu Garcia-Ovies  </w:t>
        <w:br/>
        <w:t>In Madrid, September 24, 2024</w:t>
      </w:r>
    </w:p>
    <w:p>
      <w:r>
        <w:t>The Competition Chamber has analyzed the concentration file processed in accordance with Law 15/2007, of July 3, on the Defense of Competition, consisting of the acquisition by Sonepar Ibérica, S.A.U., a company indirectly controlled by Sonepar S.A.S., of the exclusive control of Covamani S.L., and Material Eléctrico Matel Group, S.L., through the acquisition of [80-90%]% and [40-50%]% of the shareholdings of these two companies respectively. In accordance with the report and proposal submitted by the Directorate of Competition, the Competition Chamber has resolved, applying Article 57.2.a) of the aforementioned Law 15/2007, of July 3, to authorize the aforementioned concentration operation.</w:t>
      </w:r>
    </w:p>
    <w:p>
      <w:r>
        <w:t>This Resolution shall be communicated to the Directorate of Competition of the National Commission of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p>
      <w:r>
        <w:t xml:space="preserve">National Commission of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