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https://www.cnmc.es/expedientes/c148224</w:t>
      </w:r>
    </w:p>
    <w:p>
      <w:r>
        <w:t>Pages translated : 1</w:t>
      </w:r>
    </w:p>
    <w:p/>
    <w:p>
      <w:r>
        <w:rPr>
          <w:b/>
        </w:rPr>
        <w:t>[Pages 1–1]</w:t>
      </w:r>
    </w:p>
    <w:p>
      <w:r>
        <w:t xml:space="preserve">C/1482/24  </w:t>
        <w:br/>
        <w:t xml:space="preserve">WAMOS EXECUTIVE / ABRA GROUP WAMOS AIR  </w:t>
        <w:br/>
        <w:t xml:space="preserve">RESOLUTION  </w:t>
        <w:br/>
        <w:t xml:space="preserve">FILE WAMOS EXECUTIVE / ABRA GROUP WAMOS AIR  </w:t>
        <w:br/>
        <w:t xml:space="preserve">(C/1482/24)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July 17, 2024</w:t>
      </w:r>
    </w:p>
    <w:p>
      <w:r>
        <w:t>The Competition Chamber has analyzed the merger file processed in accordance with Law 15/2007, of July 3, on the Defense of Competition, consisting of the joint control acquisition by the companies WAMOS EXECUTIVE and ABRA GROUP LIMITED (ABRA GROUP) of WAMOS AIR, S.A. In accordance with the report and proposal submitted by the Competition Directorate, the Competition Chamber has resolved, in application of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