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https://www.cnmc.es/expedientes/c148324</w:t>
      </w:r>
    </w:p>
    <w:p>
      <w:r>
        <w:t>Pages translated : 2</w:t>
      </w:r>
    </w:p>
    <w:p/>
    <w:p>
      <w:r>
        <w:rPr>
          <w:b/>
        </w:rPr>
        <w:t>[Pages 1–2]</w:t>
      </w:r>
    </w:p>
    <w:p>
      <w:r>
        <w:t xml:space="preserve">C/1483/24  </w:t>
        <w:br/>
        <w:t xml:space="preserve">JLG EMEA / AUSA  </w:t>
        <w:br/>
        <w:t xml:space="preserve">RESOLUTION  </w:t>
        <w:br/>
        <w:t xml:space="preserve">FILE JLG EMEA / AUSA  </w:t>
        <w:br/>
        <w:t xml:space="preserve">(C/1483/24)  </w:t>
        <w:br/>
        <w:t xml:space="preserve">COUNCIL. COMPETITION CHAMBER  </w:t>
        <w:br/>
        <w:t xml:space="preserve">President  </w:t>
        <w:br/>
        <w:t xml:space="preserve">Ms. Cani Fernández Vicién  </w:t>
        <w:br/>
        <w:t xml:space="preserve">Councilors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July 23, 2024  </w:t>
        <w:br/>
        <w:t xml:space="preserve">The Competition Chamber has analyzed the merger file processed in accordance with Law 15/2007, of July 3, on the Defense of Competition, consisting of the acquisition by JLG EMEA, B.V, a company 100% controlled by Oshkosh Corporation, of the exclusive control of Ausacorp, S.L, through the acquisition of 100% of the shares and social participations of this company. In accordance with the report and the proposal submitted by the Directorate of Competition, the Competition Chamber has resolved, applying Article 57.2.a) of the aforementioned Law 15/2007, of July 3, to authorize the aforementioned merger operation.  </w:t>
        <w:br/>
        <w:t xml:space="preserve">Likewise, taking into account the practice of the CNMC and what is established in the Communication of the Commission regarding restrictions directly linked to the execution of a merger and necessary for that purpose (2005/C 56/03); this Chamber indicates that, in the present case, the purchase and supply obligations (transitory service provision contract) must be excluded from the authorization, as the agreement is not yet finalized. Consequently, this Competition Chamber does not currently have sufficient information to assess its ancillary nature, remaining subject to the regulations on agreements between companies in all that exceeds, both in its content and in its duration, what is established in the aforementioned Communication. All of this in accordance with what is indicated in the aforementioned report proposal from the Directorate of Competition.  </w:t>
        <w:b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