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https://www.cnmc.es/expedientes/c148424</w:t>
      </w:r>
    </w:p>
    <w:p>
      <w:r>
        <w:t>Pages translated : 1</w:t>
      </w:r>
    </w:p>
    <w:p/>
    <w:p>
      <w:r>
        <w:rPr>
          <w:b/>
        </w:rPr>
        <w:t>[Pages 1–1]</w:t>
      </w:r>
    </w:p>
    <w:p>
      <w:r>
        <w:t xml:space="preserve">C/1484/24  </w:t>
        <w:br/>
        <w:t xml:space="preserve">ROVI / INSUD / INNVIERTE / TERAFRONT FARMATECH JV  </w:t>
        <w:br/>
        <w:t xml:space="preserve">RESOLUTION  </w:t>
        <w:br/>
        <w:t xml:space="preserve">FILE ROVI / INSUD / INNVIERTE / TERAFRONT FARMATECH JV  </w:t>
        <w:br/>
        <w:t xml:space="preserve">(C/1484/24)  </w:t>
        <w:br/>
        <w:t>COUNCIL. COMPETITION CHAMBER</w:t>
      </w:r>
    </w:p>
    <w:p>
      <w:r>
        <w:t xml:space="preserve">President  </w:t>
        <w:br/>
        <w:t>Ms. Cani Fernández Vicién</w:t>
      </w:r>
    </w:p>
    <w:p>
      <w:r>
        <w:t xml:space="preserve">Counselors  </w:t>
        <w:br/>
        <w:t xml:space="preserve">Ms. María Jesús Martín Martínez  </w:t>
        <w:br/>
        <w:t xml:space="preserve">Mr. Bernardo Lorenzo Almendros  </w:t>
        <w:br/>
        <w:t>Mr. Xabier Ormaetxea Garai</w:t>
      </w:r>
    </w:p>
    <w:p>
      <w:r>
        <w:t xml:space="preserve">Secretary of the Council  </w:t>
        <w:br/>
        <w:t>Mr. Miguel Bordiu Garcia-Ovies</w:t>
      </w:r>
    </w:p>
    <w:p>
      <w:r>
        <w:t>In Madrid, July 24, 2024</w:t>
      </w:r>
    </w:p>
    <w:p>
      <w:r>
        <w:t>The Competition Chamber has analyzed the concentration file processed in accordance with Law 15/2007, of July 3, on the Defense of Competition, consisting of the creation of a full-function Joint Venture named Terafront Farmatech, S.L, jointly participated and controlled by Laboratorios Farmacéuticos Rovi S.A., Insud Pharma S.L., and Innvierte Economía Sostenible SICC, SME, S.A., an investment company of the CDTI1. According to the report and proposal submitted by the Directorate of Competition, the Competition Chamber has resolved, in application of Article 57.2.a) of the aforementioned Law 15/2007, of July 3, to authorize the aforementioned concentration operation.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1 Center for the Development of Industrial Technology EPE.  </w:t>
        <w:br/>
        <w:t xml:space="preserve">National Commission on Markets and Competition 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