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https://www.cnmc.es/expedientes/c148524</w:t>
      </w:r>
    </w:p>
    <w:p>
      <w:r>
        <w:t>Pages translated : 2</w:t>
      </w:r>
    </w:p>
    <w:p/>
    <w:p>
      <w:r>
        <w:rPr>
          <w:b/>
        </w:rPr>
        <w:t>[Pages 1–2]</w:t>
      </w:r>
    </w:p>
    <w:p>
      <w:r>
        <w:t xml:space="preserve">C/1485/24  </w:t>
        <w:br/>
        <w:t xml:space="preserve">TATE &amp; LYLE / CP KELCO  </w:t>
        <w:br/>
        <w:t xml:space="preserve">RESOLUTION  </w:t>
        <w:br/>
        <w:t xml:space="preserve">FILE TATE &amp; LYLE / CP KELCO  </w:t>
        <w:br/>
        <w:t xml:space="preserve">(C/1485/24)  </w:t>
        <w:br/>
        <w:t xml:space="preserve">COUNCIL. COMPETITION CHAMBER  </w:t>
        <w:br/>
        <w:t xml:space="preserve">President  </w:t>
        <w:br/>
        <w:t xml:space="preserve">Ms. Cani Fernández Vicién  </w:t>
        <w:br/>
        <w:t xml:space="preserve">Counselors  </w:t>
        <w:br/>
        <w:t xml:space="preserve">Ms. María Jesús Martín Martínez  </w:t>
        <w:br/>
        <w:t xml:space="preserve">Mr. Bernardo Lorenzo Almendros  </w:t>
        <w:br/>
        <w:t xml:space="preserve">Mr. Xabier Ormaetxea Garai  </w:t>
        <w:br/>
        <w:t xml:space="preserve">Secretary of the Council  </w:t>
        <w:br/>
        <w:t>Mr. Miguel Bordiu Garcia-Ovies</w:t>
      </w:r>
    </w:p>
    <w:p>
      <w:r>
        <w:t>In Madrid, on July 23, 2024</w:t>
      </w:r>
    </w:p>
    <w:p>
      <w:r>
        <w:t>The Competition Chamber has analyzed the merger file processed in accordance with Law 15/2007, of July 3, on the Defense of Competition, consisting of the acquisition by TATE &amp; LYLE PLC (hereinafter, "T&amp;L"), through TATE &amp; LYLE INVESTMENTS LIMITED ("T&amp;L INVESTMENTS"), of exclusive control of CP KELCO U.S., INC ("CP KELCO US"), J.M. HUBER INVESTMENT (CHINA) LIMITED ("CP KELCO CHINA") and CP KELCO APS ("CP KELCO DENMARK") (all of them collectively hereinafter referred to as "CP KELCO"). In accordance with the report and proposal submitted by the Competition Directorate, the Competition Chamber has resolved, under the application of Article 57.2.a) of the aforementioned Law 15/2007, of July 3, to authorize the said merger operation.</w:t>
      </w:r>
    </w:p>
    <w:p>
      <w:r>
        <w:t>Likewise, taking into account the practice of the CNMC and what is established in the Commission Communication on restrictions directly linked to the execution of a merger and necessary for that purpose (2005/C 56/03); this Chamber indicates that, in the present case, any limitation on the holding of shares for exclusively financial investment purposes that does not confer directly or indirectly management functions or substantial influence on the competing company is not considered necessary or accessory, remaining subject to the regulations on agreements between companies, all in accordance with what is indicated in the aforementioned report proposal from the Competition Directorate.</w:t>
      </w:r>
    </w:p>
    <w:p>
      <w:r>
        <w:t xml:space="preserve">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  </w:t>
        <w:b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