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https://www.cnmc.es/expedientes/c148624</w:t>
      </w:r>
    </w:p>
    <w:p>
      <w:r>
        <w:t>Pages translated : 2</w:t>
      </w:r>
    </w:p>
    <w:p/>
    <w:p>
      <w:r>
        <w:rPr>
          <w:b/>
        </w:rPr>
        <w:t>[Pages 1–2]</w:t>
      </w:r>
    </w:p>
    <w:p>
      <w:r>
        <w:t xml:space="preserve">C/1486/24  </w:t>
        <w:br/>
        <w:t xml:space="preserve">KKR / IGNIS / P2X JV  </w:t>
        <w:br/>
        <w:t xml:space="preserve">RESOLUTION  </w:t>
        <w:br/>
        <w:t xml:space="preserve">FILE KKR / IGNIS / P2X JV  </w:t>
        <w:br/>
        <w:t xml:space="preserve">(C/1486/24)  </w:t>
        <w:br/>
        <w:t>COUNCIL. COMPETITION CHAMBER</w:t>
      </w:r>
    </w:p>
    <w:p>
      <w:r>
        <w:t xml:space="preserve">President  </w:t>
        <w:br/>
        <w:t>Ms. Cani Fernández Vicién</w:t>
      </w:r>
    </w:p>
    <w:p>
      <w:r>
        <w:t xml:space="preserve">Councilors  </w:t>
        <w:br/>
        <w:t xml:space="preserve">Ms. María Jesús Martín Martínez  </w:t>
        <w:br/>
        <w:t xml:space="preserve">Mr. Bernardo Lorenzo Almendros  </w:t>
        <w:br/>
        <w:t>Mr. Xabier Ormaetxea Garai</w:t>
      </w:r>
    </w:p>
    <w:p>
      <w:r>
        <w:t xml:space="preserve">Secretary of the Council  </w:t>
        <w:br/>
        <w:t>Ms. María Ángeles Rodríguez Paraja</w:t>
      </w:r>
    </w:p>
    <w:p>
      <w:r>
        <w:t>In Madrid, on July 29, 2024</w:t>
      </w:r>
    </w:p>
    <w:p>
      <w:r>
        <w:t>The Competition Chamber has analyzed the merger file processed in accordance with Law 15/2007, of July 3, on the Defense of Competition, consisting of the creation of a full-function joint venture, P2X HoldCo, which will be jointly controlled by Ignis Energy Holdings, S.L., and indirectly through Earth LuxCo, S.à.r.l., by KKR &amp; Co. Inc. In accordance with the report and proposal submitted by the Directorate of Competition, the Competition Chamber has resolved, under the application of Article 57.2.a) of the aforementioned Law 15/2007, of July 3, to authorize the said merger operation.</w:t>
      </w:r>
    </w:p>
    <w:p>
      <w:r>
        <w:t xml:space="preserve">Likewise, taking into account the practice of the CNMC and what is established in the Commission Communication on restrictions directly linked to the execution of a merger and necessary for that purpose (2005/C 56/03); this Chamber notes that, in the present case, they are not considered necessary or accessory, remaining subject to the regulations on agreements between companies:  </w:t>
        <w:br/>
        <w:t xml:space="preserve">- The duration of the non-compete clause, insofar as it exceeds the duration of the JV and/or the condition of partners of P2X JV.  </w:t>
        <w:br/>
        <w:t xml:space="preserve">- The duration of the non-solicitation clause, insofar as it exceeds 2 years in duration.  </w:t>
        <w:br/>
        <w:t>- The duration of the Service Agreements to the extent that the planned extensions result in a duration of more than 5 years.</w:t>
      </w:r>
    </w:p>
    <w:p>
      <w:r>
        <w:t>All of this in accordance with what is indicated in the aforementioned report proposal from the Directorate of Competition.</w:t>
      </w:r>
    </w:p>
    <w:p>
      <w:r>
        <w:t>This Resolution shall be communicated to the Directorate of Competition of the National Commission of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