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https://www.cnmc.es/expedientes/c148724</w:t>
      </w:r>
    </w:p>
    <w:p>
      <w:r>
        <w:t>Pages translated : 2</w:t>
      </w:r>
    </w:p>
    <w:p/>
    <w:p>
      <w:r>
        <w:rPr>
          <w:b/>
        </w:rPr>
        <w:t>[Pages 1–2]</w:t>
      </w:r>
    </w:p>
    <w:p>
      <w:r>
        <w:t xml:space="preserve">C/1487/24  </w:t>
        <w:br/>
        <w:t xml:space="preserve">HEREP III - GRUPO LAR RETAIL / LAR ESPAÑA  </w:t>
        <w:br/>
        <w:t xml:space="preserve">RESOLUTION  </w:t>
        <w:br/>
        <w:t xml:space="preserve">FILE HEREP III - GRUPO LAR RETAIL / LAR ESPAÑA  </w:t>
        <w:br/>
        <w:t xml:space="preserve">(C/1487/24)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August 7, 2024</w:t>
      </w:r>
    </w:p>
    <w:p>
      <w:r>
        <w:t>The Competition Chamber has analyzed the merger file processed in accordance with Law 15/2007, of July 3, on the Defense of Competition, whereby the companies Hines European Real Estate Partners III SCSp and Grupo Lar Retail Investments acquire joint control of Lar España Real Estate SOCIMI, S.A. In accordance with the report and proposal submitted by the Competition Directorate, the Competition Chamber has resolved, applying Article 57.2.a) of the aforementioned Law 15/2007, of July 3, to authorize the aforementioned merger operation.</w:t>
      </w:r>
    </w:p>
    <w:p>
      <w:r>
        <w:t>Likewise, taking into account the practice of the CNMC and what is established in the Commission Communication on restrictions directly linked to the execution of a merger and necessary for that purpose (2005/C 56/03); this Chamber notes that, in the present case, the geographical scope of the non-competition clause, insofar as it exceeds the municipalities where the acquired entity conducts its activity, goes beyond what is reasonably required by the notified merger operation, thus remaining subject to the general regulations applicable to agreements between companies. All of this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C/1487/24  </w:t>
        <w:br/>
        <w:t xml:space="preserve">HEREP III - GRUPO LAR RETAIL / LAR ESPAÑA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