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https://www.cnmc.es/expedientes/c148824</w:t>
      </w:r>
    </w:p>
    <w:p>
      <w:r>
        <w:t>Pages translated : 1</w:t>
      </w:r>
    </w:p>
    <w:p/>
    <w:p>
      <w:r>
        <w:rPr>
          <w:b/>
        </w:rPr>
        <w:t>[Pages 1–1]</w:t>
      </w:r>
    </w:p>
    <w:p>
      <w:r>
        <w:t xml:space="preserve">C/1488/24  </w:t>
        <w:br/>
        <w:t xml:space="preserve">CASER RESIDENCIAL / RESIDENCIAS NOVALLAR  </w:t>
        <w:br/>
        <w:t xml:space="preserve">RESOLUTION  </w:t>
        <w:br/>
        <w:t xml:space="preserve">FILE CASER RESIDENCIAL/ RESIDENCIAS NOVALLAR  </w:t>
        <w:br/>
        <w:t xml:space="preserve">(C/1488/24)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September 4, 2024</w:t>
      </w:r>
    </w:p>
    <w:p>
      <w:r>
        <w:t>The Competition Chamber has analyzed the concentration file processed in accordance with Law 15/2007, of July 3, on the Defense of Competition, consisting of the acquisition of exclusive control by Caser Residencial Inmobiliaria S.A.U of 100% of the social shares of Novallar de Cunit S.L. and Novallar de Mediona S.L., which are currently directly or indirectly owned by G3T, S.L. In accordance with the report and proposal submitted by the Directorate of Competition, the Competition Chamber has resolved, under the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