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https://www.cnmc.es/expedientes/c148924</w:t>
      </w:r>
    </w:p>
    <w:p>
      <w:r>
        <w:t>Pages translated : 2</w:t>
      </w:r>
    </w:p>
    <w:p/>
    <w:p>
      <w:r>
        <w:rPr>
          <w:b/>
        </w:rPr>
        <w:t>[Pages 1–2]</w:t>
      </w:r>
    </w:p>
    <w:p>
      <w:r>
        <w:t xml:space="preserve">C/1489/24  </w:t>
        <w:br/>
        <w:t xml:space="preserve">GRUPO SYRSA AUTOMÓVILES / ALMINA AUTOMOCIÓN  </w:t>
        <w:br/>
        <w:t xml:space="preserve">RESOLUTION  </w:t>
        <w:br/>
        <w:t xml:space="preserve">FILE GRUPO SYRSA AUTOMÓVILES / ALMINA AUTOMOCIÓN  </w:t>
        <w:br/>
        <w:t xml:space="preserve">(C/1489/24)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September 11, 2024</w:t>
      </w:r>
    </w:p>
    <w:p>
      <w:r>
        <w:t>The Competition Chamber has analyzed the merger file processed in accordance with Law 15/2007, of July 3, on the Defense of Competition, consisting of the acquisition of exclusive control by GRUPO SYRSA AUTOMÓVILES S.L. (hereinafter, SYRSA) of ALMINA AUTOMOCIÓN S.A. (hereinafter, ALMINA), the latter dedicated to the sale and after-sales services of cars and motorcycles, through a network of dealers and the corresponding concession or distribution contracts with the manufacturers. According to the report and proposal submitted by the Directorate of Competition, the Competition Chamber has resolved, in application of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notes that, in the present case, in relation to the non-solicitation clause of executives, with the future lease contract of a premises and with the future co-ownership agreement of certain software licenses, these are subject to the regulations on agreements between companies in all that exceeds, both in their content and in their duration. All of this in accordance with what is indicated in the aforementioned report proposal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