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https://www.cnmc.es/expedientes/c149024</w:t>
      </w:r>
    </w:p>
    <w:p>
      <w:r>
        <w:t>Pages translated : 1</w:t>
      </w:r>
    </w:p>
    <w:p/>
    <w:p>
      <w:r>
        <w:rPr>
          <w:b/>
        </w:rPr>
        <w:t>[Pages 1–1]</w:t>
      </w:r>
    </w:p>
    <w:p>
      <w:r>
        <w:t xml:space="preserve">C/1490/24  </w:t>
        <w:br/>
        <w:t xml:space="preserve">WASTE MANAGEMENT / STERICYCLE  </w:t>
        <w:br/>
        <w:t xml:space="preserve">RESOLUTION  </w:t>
        <w:br/>
        <w:t xml:space="preserve">FILE WASTE MANAGEMENT / STERICYCLE  </w:t>
        <w:br/>
        <w:t xml:space="preserve">(C/1490/24)  </w:t>
        <w:br/>
        <w:t>COUNCIL. COMPETITION CHAMBER</w:t>
      </w:r>
    </w:p>
    <w:p>
      <w:r>
        <w:t xml:space="preserve">President  </w:t>
        <w:br/>
        <w:t>Ms. Cani Fernández Vicién</w:t>
      </w:r>
    </w:p>
    <w:p>
      <w:r>
        <w:t xml:space="preserve">Councilors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September 11, 2024</w:t>
      </w:r>
    </w:p>
    <w:p>
      <w:r>
        <w:t>The Competition Chamber has analyzed the merger file processed in accordance with Law 15/2007, of July 3, on the Defense of Competition, consisting of the acquisition by Waste Management, Inc., of exclusive control of Stericycle, Inc. In accordance with the report and proposal submitted by the Competition Directorate, the Competition Chamber has resolved, in application of article 57.2.a) of the aforementioned Law 15/2007, of July 3, to authorize the aforementioned merger operation.</w:t>
      </w:r>
    </w:p>
    <w:p>
      <w:r>
        <w:t>This Resolution shall be communicated to the Competition Directorate of the National Commission on Markets and Competition and notified to the interested party, informing them that this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