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https://www.cnmc.es/expedientes/c149124</w:t>
      </w:r>
    </w:p>
    <w:p>
      <w:r>
        <w:t>Pages translated : 1</w:t>
      </w:r>
    </w:p>
    <w:p/>
    <w:p>
      <w:r>
        <w:rPr>
          <w:b/>
        </w:rPr>
        <w:t>[Pages 1–1]</w:t>
      </w:r>
    </w:p>
    <w:p>
      <w:r>
        <w:t xml:space="preserve">C/1491/24  </w:t>
        <w:br/>
        <w:t xml:space="preserve">AVANZA / GRUPO JULIAN DE CASTRO  </w:t>
        <w:br/>
        <w:t xml:space="preserve">RESOLUTION  </w:t>
        <w:br/>
        <w:t xml:space="preserve">FILE AVANZA / GRUPO JULIAN DE CASTRO  </w:t>
        <w:br/>
        <w:t xml:space="preserve">(C/1491/24)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on September 11, 2024  </w:t>
        <w:br/>
        <w:t xml:space="preserve">The Competition Chamber has analyzed the concentration file processed in accordance with Law 15/2007, of July 3, on the Defense of Competition, whereby the company AVANZA MOVILIDAD INTEGRAL, S.L., (AVANZA) acquires exclusive control of three companies, through the direct purchase of 100% of the share capital of Autocares Julián de Castro, S.A. and Autocares Casanz, S.L., and indirectly of 94.45% of the share capital of Autocares Beltrán, S.A., (collectively, GRUPO JULIÁN DE CASTRO) from their current owners.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