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https://www.cnmc.es/expedientes/c149524</w:t>
      </w:r>
    </w:p>
    <w:p>
      <w:r>
        <w:t>Pages translated : 2</w:t>
      </w:r>
    </w:p>
    <w:p/>
    <w:p>
      <w:r>
        <w:rPr>
          <w:b/>
        </w:rPr>
        <w:t>[Pages 1–2]</w:t>
      </w:r>
    </w:p>
    <w:p>
      <w:r>
        <w:t xml:space="preserve">C/1495/24  </w:t>
        <w:br/>
        <w:t xml:space="preserve">DAMM - IDILIA / CACAOLAT  </w:t>
        <w:br/>
        <w:t xml:space="preserve">RESOLUTION  </w:t>
        <w:br/>
        <w:t xml:space="preserve">FILE DAMM – IDILIA / CACAOLAT  </w:t>
        <w:br/>
        <w:t xml:space="preserve">(C/1495/24)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In Madrid, on November 21, 2024</w:t>
      </w:r>
    </w:p>
    <w:p>
      <w:r>
        <w:t>The Competition Chamber has analyzed the concentration file processed in accordance with Law 15/2007, of July 3, on the Defense of Competition, consisting of the acquisition of joint control over the company Grupo Cacaolat, S.L.U. (CACAOLAT or JV) by Idilia Foods, S.L.U. (IDILIA) and Sociedad Anónima Damm, S.A. (DAMM). Currently, CACAOLAT is wholly owned by DAMM. According to the report and the proposal submitted by the Directorate of Competition, the Competition Chamber has resolved, in application of Article 57.2.b) of the aforementioned Law 15/2007, of July 3, to authorize the said concentration operation subject to the fulfillment of the commitments presented by the notifying party.</w:t>
      </w:r>
    </w:p>
    <w:p>
      <w:r>
        <w:t>Likewise, taking into account the practice of the CNMC and what is established in the Commission Communication on restrictions directly linked to the execution of a concentration and necessary for that purpose (2005/C 56/03); this Chamber indicates that, in the present case, no duration of the non-compete clause exceeding that of the participating company itself, or of the condition of partner of the same, is considered necessary or accessory to the operation, remaining subject to the regulations on agreements between companies. All of this in accordance with what is indicated in the aforementioned report proposal from the Directorate of Competition.</w:t>
      </w:r>
    </w:p>
    <w:p>
      <w:r>
        <w:t xml:space="preserve">National Commission of Markets and Competition 1 of 2  </w:t>
        <w:br/>
        <w:t xml:space="preserve">C/ Alcalá, 47 – 28014 Madrid - C/ Bolivia, 56 – 08018 Barcelona  </w:t>
        <w:br/>
        <w:t>www.cnmc.es</w:t>
      </w:r>
    </w:p>
    <w:p>
      <w:r>
        <w:t xml:space="preserve">C/1495/24  </w:t>
        <w:b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