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https://www.cnmc.es/expedientes/c149624</w:t>
      </w:r>
    </w:p>
    <w:p>
      <w:r>
        <w:t>Pages translated : 1</w:t>
      </w:r>
    </w:p>
    <w:p/>
    <w:p>
      <w:r>
        <w:rPr>
          <w:b/>
        </w:rPr>
        <w:t>[Pages 1–1]</w:t>
      </w:r>
    </w:p>
    <w:p>
      <w:r>
        <w:t xml:space="preserve">C/1496/24  </w:t>
        <w:br/>
        <w:t xml:space="preserve">SHS / NOVARTIS RADIO-LIGAND IMAGING BUSINESS  </w:t>
        <w:br/>
        <w:t xml:space="preserve">RESOLUTION  </w:t>
        <w:br/>
        <w:t xml:space="preserve">FILE SHS / NOVARTIS RADIO-LIGAND IMAGING BUSINESS  </w:t>
        <w:br/>
        <w:t xml:space="preserve">(C/1496/24)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September 30, 2024  </w:t>
        <w:br/>
        <w:t xml:space="preserve">The Competition Chamber has analyzed the merger file processed in accordance with Law 15/2007, of July 3, on the Defense of Competition, consisting of the acquisition by Siemens Healthineers AG of exclusive control over the European business of manufacturing imaging products using radioligands from the Novartis group. According to the report and proposal submitted by the Directorate of Competition, the Competition Chamber has resolved, in application of Article 57.2.a) of the aforementioned Law 15/2007, of July 3, to authorize the aforementioned merger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