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https://www.cnmc.es/expedientes/c149724</w:t>
      </w:r>
    </w:p>
    <w:p>
      <w:r>
        <w:t>Pages translated : 2</w:t>
      </w:r>
    </w:p>
    <w:p/>
    <w:p>
      <w:r>
        <w:rPr>
          <w:b/>
        </w:rPr>
        <w:t>[Pages 1–2]</w:t>
      </w:r>
    </w:p>
    <w:p>
      <w:r>
        <w:t xml:space="preserve">C/149724  </w:t>
        <w:br/>
        <w:t xml:space="preserve">NAYARIT / D´LETEREN  </w:t>
        <w:br/>
        <w:t xml:space="preserve">RESOLUTION  </w:t>
        <w:br/>
        <w:t xml:space="preserve">FILE NAYARIT / D´LETEREN  </w:t>
        <w:br/>
        <w:t xml:space="preserve">(C/1497/24)  </w:t>
        <w:br/>
        <w:t xml:space="preserve">COUNCIL. COMPETITION CHAMBER  </w:t>
        <w:br/>
        <w:t xml:space="preserve">President  </w:t>
        <w:br/>
        <w:t xml:space="preserve">Ms. Cani Fernández Vicién  </w:t>
        <w:br/>
        <w:t xml:space="preserve">Councilors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October 14, 2024  </w:t>
        <w:br/>
        <w:t xml:space="preserve">The Competition Chamber has analyzed the concentration file processed in accordance with Law 15/2007, of July 3, on the Defense of Competition, consisting of the acquisition by Nayarit Participations SA/NV, (NAYARIT) of exclusive control of D’leteren Group SA/NV (D’LETEREN), through the acquisition of 53.82% of the voting rights of the company. In accordance with the report and proposal submitted by the Competition Directorate, the Competition Chamber has resolved, applying Article 57.2.a) of the aforementioned Law 15/2007, of July 3, to authorize the said concentration operation.  </w:t>
        <w:br/>
        <w:t xml:space="preserve">Likewise, taking into account the practice of the CNMC and what is established in the Commission Communication on restrictions directly linked to the execution of a concentration and necessary for that purpose (2005/C 56/03); this Chamber notes that, in the present case, the duration of the non-solicitation agreement included in the purchase contract goes beyond what is reasonably required by the notified concentration operation, thus remaining subject to the general regulations applicable to agreements between companies in what exceeds two years. All of this in accordance with what is indicated in the aforementioned report proposal from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