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https://www.cnmc.es/expedientes/c149824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C/149824  </w:t>
        <w:br/>
        <w:t xml:space="preserve">GUALTOSAL / RIF / PUJOL PIRINEUS JV  </w:t>
        <w:br/>
        <w:t xml:space="preserve">RESOLUTION  </w:t>
        <w:br/>
        <w:t xml:space="preserve">FILE GUALTOSAL / RIF / PUJOL PIRINEUS JV  </w:t>
        <w:br/>
        <w:t xml:space="preserve">(C/1498/24)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Counselors  </w:t>
        <w:br/>
        <w:t xml:space="preserve">Ms. María Jesús Martín Martínez  </w:t>
        <w:br/>
        <w:t xml:space="preserve">Mr. Bernardo Lorenzo Almendros  </w:t>
        <w:br/>
        <w:t xml:space="preserve">Mr. Xabier Ormaetxea Garai  </w:t>
        <w:br/>
        <w:t xml:space="preserve">Secretary of the Council  </w:t>
        <w:br/>
        <w:t xml:space="preserve">Mr. Miguel Bordiu Garcia-Ovies  </w:t>
        <w:br/>
        <w:t xml:space="preserve">In Madrid, October 23, 2024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consisting of the joint control acquisition by GUALTOSAL, S.L.,  </w:t>
        <w:br/>
        <w:t xml:space="preserve">and Ribalta i Fills (hereinafter, RiF) of the JV Pujol Pirineus, which will concentrate the  </w:t>
        <w:br/>
        <w:t xml:space="preserve">ownership and management of the Fresh Concrete Production Plants currently  </w:t>
        <w:br/>
        <w:t xml:space="preserve">operated by RiF. According to the report and proposal submitted by the  </w:t>
        <w:br/>
        <w:t xml:space="preserve">Directorate of Competition, the Competition Chamber has resolved, in application  </w:t>
        <w:br/>
        <w:t xml:space="preserve">of Article 57.2.a) of the aforementioned Law 15/2007, of July 3, to authorize the  </w:t>
        <w:br/>
        <w:t xml:space="preserve">aforementioned concentration operation.  </w:t>
        <w:br/>
        <w:t xml:space="preserve">Likewise, taking into account the practice of the CNMC and what is established in the  </w:t>
        <w:br/>
        <w:t xml:space="preserve">Commission Communication on restrictions directly linked to  </w:t>
        <w:br/>
        <w:t xml:space="preserve">the execution of a concentration and necessary for that purpose (2005/C 56/03); this  </w:t>
        <w:br/>
        <w:t xml:space="preserve">Chamber indicates that, in the present case, they are not considered necessary for the  </w:t>
        <w:br/>
        <w:t xml:space="preserve">execution of the operation nor accessory to it, remaining subject to the  </w:t>
        <w:br/>
        <w:t xml:space="preserve">regulations on agreements between companies, the clause related to the Supply Agreement,  </w:t>
        <w:br/>
        <w:t xml:space="preserve">insofar as it is intended to offer preferential treatment, as well as the clause related to the  </w:t>
        <w:br/>
        <w:t xml:space="preserve">Agreement for the provision of ancillary services in  </w:t>
        <w:br/>
        <w:t xml:space="preserve">National Commission of Markets and Competition 1 of 2  </w:t>
        <w:br/>
        <w:t xml:space="preserve">C/ Alcalá, 47 – 28014 Madrid - C/ Bolivia, 56 – 08018 Barcelona  </w:t>
        <w:br/>
        <w:t>www.cnmc.es</w:t>
      </w:r>
    </w:p>
    <w:p>
      <w:r>
        <w:t xml:space="preserve">C/149824  </w:t>
        <w:br/>
        <w:t xml:space="preserve">GUALTOSAL / RIF / PUJOL PIRINEUS JV  </w:t>
        <w:br/>
        <w:t xml:space="preserve">everything that exceeds 5 years in duration. All of this in accordance with what  </w:t>
        <w:br/>
        <w:t xml:space="preserve">is indicated in the aforementioned report proposal from the Directorate of Competition.  </w:t>
        <w:br/>
        <w:t xml:space="preserve">This Resolution shall be communicated to the Directorate of Competition of the  </w:t>
        <w:br/>
        <w:t xml:space="preserve">National Commission of Markets and Competition and notified to the interested party,  </w:t>
        <w:br/>
        <w:t xml:space="preserve">informing them that it concludes the administrative procedure and that a  </w:t>
        <w:br/>
        <w:t xml:space="preserve">contentious-administrative appeal can be filed against it before the National Court,  </w:t>
        <w:br/>
        <w:t xml:space="preserve">within two months from the day following its notification.  </w:t>
        <w:br/>
        <w:t xml:space="preserve">National Commission of Markets and Competition 2 of 2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