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https://www.cnmc.es/expedientes/c149924</w:t>
      </w:r>
    </w:p>
    <w:p>
      <w:r>
        <w:t>Pages translated : 2</w:t>
      </w:r>
    </w:p>
    <w:p/>
    <w:p>
      <w:r>
        <w:rPr>
          <w:b/>
        </w:rPr>
        <w:t>[Pages 1–2]</w:t>
      </w:r>
    </w:p>
    <w:p>
      <w:r>
        <w:t xml:space="preserve">C/1499/24  </w:t>
        <w:br/>
        <w:t xml:space="preserve">BKS / FSP ASSETS  </w:t>
        <w:br/>
        <w:t xml:space="preserve">RESOLUTION  </w:t>
        <w:br/>
        <w:t xml:space="preserve">FILE BKS / FSP ASSETS  </w:t>
        <w:br/>
        <w:t xml:space="preserve">(C/1499/24)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October 23, 2024</w:t>
      </w:r>
    </w:p>
    <w:p>
      <w:r>
        <w:t>The Competition Chamber has analyzed the concentration file processed in accordance with Law 15/2007, of July 3, on the Defense of Competition, consisting of the acquisition of exclusive control by the company Burger King Spain, S.L.U., of 54 restaurants currently operated under a franchise regime under the "Burger King" brand by Food Service Project, S.A.U., as well as the assets assigned to them (ACQUIRED BUSINESS). In accordance with the report and proposal submitted by the Directorate of Competition, the Competition Chamber has resolved, applying Article 57.2.a) of the aforementioned Law 15/2007, of July 3, to authorize the aforementioned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the geographical scope of the non-compete clause, insofar as it exceeds the municipalities where the establishments that make up the acquired business are located, goes beyond what is reasonably required by the notified concentration operation, thus remaining subject to the general regulations applicable to agreements between companies. All of this in accordance with what is indicated in the aforementioned report proposal from the Directorate of Competition.</w:t>
      </w:r>
    </w:p>
    <w:p>
      <w:r>
        <w:t xml:space="preserve">National Commission of Markets and Competition 1 of 2  </w:t>
        <w:br/>
        <w:t xml:space="preserve">C/ Alcalá, 47 – 28014 Madrid - C/ Bolivia, 56 – 08018 Barcelona  </w:t>
        <w:br/>
        <w:t>www.cnmc.es</w:t>
      </w:r>
    </w:p>
    <w:p>
      <w:r>
        <w:t xml:space="preserve">C/1499/24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