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https://www.cnmc.es/expedientes/c150024</w:t>
      </w:r>
    </w:p>
    <w:p>
      <w:r>
        <w:t>Pages translated : 2</w:t>
      </w:r>
    </w:p>
    <w:p/>
    <w:p>
      <w:r>
        <w:rPr>
          <w:b/>
        </w:rPr>
        <w:t>[Pages 1–2]</w:t>
      </w:r>
    </w:p>
    <w:p>
      <w:r>
        <w:t xml:space="preserve">C/1500/24  </w:t>
        <w:br/>
        <w:t xml:space="preserve">REFRESCO / FRIAS  </w:t>
        <w:br/>
        <w:t xml:space="preserve">RESOLUTION  </w:t>
        <w:br/>
        <w:t xml:space="preserve">FILE REFRESCO / FRIAS  </w:t>
        <w:br/>
        <w:t xml:space="preserve">(C/1500/24)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Madrid, on November 6, 2024  </w:t>
        <w:br/>
        <w:t xml:space="preserve">The Competition Chamber has analyzed the merger file processed in accordance with Law 15/2007, of July 3, on the Defense of Competition, consisting of the acquisition by Refresco Iberia, S.A.U., a company indirectly controlled by Refresco Holding, B.V. (together with its subsidiaries, hereinafter, REFRESCO) of the exclusive control of Thermin Europe, S.L and its subsidiaries Frías Nutrición, S.A.U. and Neutral Foods, S.L.U. (jointly, hereinafter, FRIAS). In accordance with the report and proposal submitted by the Directorate of Competition, the Competition Chamber has resolved, under Article 57.2.a) of the aforementioned Law 15/2007, of July 3, to authorize the aforementioned merger operation.  </w:t>
        <w:br/>
        <w:t xml:space="preserve">Likewise, taking into account the practice of the CNMC and what is established in the Communication of the Commission regarding restrictions directly linked to the execution of a merger and necessary for that purpose (2005/C 56/03); this Chamber considers that, in the present case, they are not deemed necessary or accessory to the operation, remaining subject to the regulations on agreements between companies, any duration of the confidentiality clause exceeding three years; regarding the non-competition clause, any limitation on the holding of minority stakes in competing companies, regardless of the percentage in question, for purely financial purposes that do not seek control or influence over it. All of this in accordance with what is indicated in the aforementioned report proposal from the Directorate of Competition.  </w:t>
        <w:b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