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https://www.cnmc.es/expedientes/c150124</w:t>
      </w:r>
    </w:p>
    <w:p>
      <w:r>
        <w:t>Pages translated : 2</w:t>
      </w:r>
    </w:p>
    <w:p/>
    <w:p>
      <w:r>
        <w:rPr>
          <w:b/>
        </w:rPr>
        <w:t>[Pages 1–2]</w:t>
      </w:r>
    </w:p>
    <w:p>
      <w:r>
        <w:t xml:space="preserve">C/1501/24  </w:t>
        <w:br/>
        <w:t xml:space="preserve">CURIUM / IRAB  </w:t>
        <w:br/>
        <w:t xml:space="preserve">RESOLUTION  </w:t>
        <w:br/>
        <w:t xml:space="preserve">FILE CURIUM / IRAB  </w:t>
        <w:br/>
        <w:t xml:space="preserve">(C/1501/24)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September 29, 2025</w:t>
      </w:r>
    </w:p>
    <w:p>
      <w:r>
        <w:t>The Competition Chamber has analyzed the concentration file processed in accordance with Law 15/2007, of July 3, on the Defense of Competition, regarding the economic concentration operation consisting of the acquisition of exclusive control by CURIUM PHARMA HOLDING SPAIN, S.L., through its subsidiary CURIUM PHARMA SPAIN, S.A., of the INSTITUT DE RADIOFARMÀCIA APLICADA DE BARCELONA, S.L. According to the report and the proposal submitted by the Directorate of Competition, the Competition Chamber has resolved, in application of Article 58.4.c) of the aforementioned Law 15/2007, of July 3, to prohibit the aforementioned concentration operation.</w:t>
      </w:r>
    </w:p>
    <w:p>
      <w:r>
        <w:t xml:space="preserve">This resolution shall be communicated to the Directorate of Competition and to the Minister of Economy, Trade and Business, as provided in Article 58.5 of the LDC.  </w:t>
        <w:br/>
        <w:t xml:space="preserve">National Commission of Markets and Competition 1 of 2  </w:t>
        <w:br/>
        <w:t xml:space="preserve">C/ Alcalá, 47 – 28014 Madrid - C/ Bolivia, 56 – 08018 Barcelona  </w:t>
        <w:br/>
        <w:t>www.cnmc.es</w:t>
      </w:r>
    </w:p>
    <w:p>
      <w:r>
        <w:t xml:space="preserve">C/1501/24  </w:t>
        <w:br/>
        <w:t xml:space="preserve">CURIUM / IRAB  </w:t>
        <w:br/>
        <w:t xml:space="preserve">Furthermore, it shall be notified to the interested parties, informing them that this resolution will not be effective, nor executive, nor will it conclude the administrative procedure unless one of the two scenarios provided in letters a) or b) of Article 58.6 of the LDC occurs,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