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https://www.cnmc.es/expedientes/c150324</w:t>
      </w:r>
    </w:p>
    <w:p>
      <w:r>
        <w:t>Pages translated : 1</w:t>
      </w:r>
    </w:p>
    <w:p/>
    <w:p>
      <w:r>
        <w:rPr>
          <w:b/>
        </w:rPr>
        <w:t>[Pages 1–1]</w:t>
      </w:r>
    </w:p>
    <w:p>
      <w:r>
        <w:t xml:space="preserve">C/1503/24  </w:t>
        <w:br/>
        <w:t xml:space="preserve">ABERTIS / TRADOS 45  </w:t>
        <w:br/>
        <w:t xml:space="preserve">RESOLUTION  </w:t>
        <w:br/>
        <w:t xml:space="preserve">FILE ABERTIS / TRADOS 45  </w:t>
        <w:br/>
        <w:t xml:space="preserve">(C/1503/24)  </w:t>
        <w:br/>
        <w:t>COUNCIL. COMPETITION CHAMBER</w:t>
      </w:r>
    </w:p>
    <w:p>
      <w:r>
        <w:t xml:space="preserve">President  </w:t>
        <w:br/>
        <w:t>Ms. Cani Fernández Vicién</w:t>
      </w:r>
    </w:p>
    <w:p>
      <w:r>
        <w:t xml:space="preserve">Counselors  </w:t>
        <w:br/>
        <w:t xml:space="preserve">Ms. María Jesús Martín Martínez  </w:t>
        <w:br/>
        <w:t xml:space="preserve">Mr. Bernardo Lorenzo Almendros  </w:t>
        <w:br/>
        <w:t>Mr. Xabier Ormaetxea Garai</w:t>
      </w:r>
    </w:p>
    <w:p>
      <w:r>
        <w:t xml:space="preserve">Secretary of the Council  </w:t>
        <w:br/>
        <w:t>Mr. Miguel Bordiu Garcia-Ovies</w:t>
      </w:r>
    </w:p>
    <w:p>
      <w:r>
        <w:t>In Madrid, on November 6, 2024</w:t>
      </w:r>
    </w:p>
    <w:p>
      <w:r>
        <w:t>The Competition Chamber has analyzed the concentration file processed in accordance with Law 15/2007, of July 3, on the Defense of Competition, consisting of the acquisition by ABERTIS AUTOPISTAS ESPAÑA, S.A.U., of exclusive control of AUTOPISTA TRADOS 45, S.A., over which it already held joint control together with Finavias, S.à.r.l. The operation therefore results in a change in the nature of the control of TRADOS 45. In accordance with the report and proposal submitted by the Directorate of Competition, the Competition Chamber has resolved, applying Article 57.2.a) of the aforementioned Law 15/2007, of July 3, to authorize the aforementioned concentration operation.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p>
      <w:r>
        <w:t xml:space="preserve">National Commission on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