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https://www.cnmc.es/expedientes/c150424</w:t>
      </w:r>
    </w:p>
    <w:p>
      <w:r>
        <w:t>Pages translated : 2</w:t>
      </w:r>
    </w:p>
    <w:p/>
    <w:p>
      <w:r>
        <w:rPr>
          <w:b/>
        </w:rPr>
        <w:t>[Pages 1–2]</w:t>
      </w:r>
    </w:p>
    <w:p>
      <w:r>
        <w:t xml:space="preserve">C/1504/24  </w:t>
        <w:br/>
        <w:t xml:space="preserve">COVALCO / AZBZ &amp; DELIVERY  </w:t>
        <w:br/>
        <w:t xml:space="preserve">RESOLUTION  </w:t>
        <w:br/>
        <w:t xml:space="preserve">FILE COVALCO / AZBZ &amp; DELIVERY  </w:t>
        <w:br/>
        <w:t xml:space="preserve">(C/1504/24)  </w:t>
        <w:br/>
        <w:t xml:space="preserve">COUNCIL. COMPETITION CHAMBER  </w:t>
        <w:br/>
        <w:t xml:space="preserve">President  </w:t>
        <w:br/>
        <w:t xml:space="preserve">Ms. Cani Fernández Vicién  </w:t>
        <w:br/>
        <w:t xml:space="preserve">Counselors  </w:t>
        <w:br/>
        <w:t xml:space="preserve">Ms. María Jesús Martín Martínez  </w:t>
        <w:br/>
        <w:t xml:space="preserve">Mr. Bernardo Lorenzo Almendros  </w:t>
        <w:br/>
        <w:t xml:space="preserve">Mr. Xabier Ormaetxea Garai  </w:t>
        <w:br/>
        <w:t xml:space="preserve">Secretary of the Council  </w:t>
        <w:br/>
        <w:t xml:space="preserve">Mr. Miguel Bordiu Garcia-Ovies  </w:t>
        <w:br/>
        <w:t xml:space="preserve">In Madrid, November 29, 2024  </w:t>
        <w:br/>
        <w:t xml:space="preserve">The Competition Chamber has analyzed the merger file processed in accordance with Law 15/2007, of July 3, on the Defense of Competition, consisting of the acquisition by HD COVALCO, S.L.U., of exclusive control over AZBZ &amp; DELIVERY, S.L. In accordance with the report and proposal submitted by the Competition Directorate, the Competition Chamber has resolved, pursuant to article 57.2.a) of the aforementioned Law 15/2007, of July 3, to authorize the aforementioned merger operation.  </w:t>
        <w:br/>
        <w:t xml:space="preserve">Likewise, taking into account the practice of the CNMC and what is established in the Commission Communication on restrictions directly linked to the execution of a merger and necessary for that purpose (2005/C 56/03); this Chamber considers that, in the present case, it would exceed what is included in the aforementioned Communication: the non-compete clause in the Canary Islands, regarding (i) its material scope, as it applies to the purchasing party; (ii) its temporal scope, as it exceeds the two years established by the aforementioned Communication; and (iii) its geographical scope, as this could exceed the territorial scope in which the acquired operates.  </w:t>
        <w:br/>
        <w:t xml:space="preserve">National Commission of Markets and Competition 1 of 2  </w:t>
        <w:br/>
        <w:t xml:space="preserve">C/ Alcalá, 47 – 28014 Madrid - C/ Bolivia, 56 – 08018 Barcelona  </w:t>
        <w:br/>
        <w:t>www.cnmc.es</w:t>
      </w:r>
    </w:p>
    <w:p>
      <w:r>
        <w:t xml:space="preserve">C/1504/24  </w:t>
        <w:br/>
        <w:t xml:space="preserve">COVALCO / AZBZ &amp; DELIVERY  </w:t>
        <w:br/>
        <w:t xml:space="preserve">Therefore, all of the above would go beyond what is reasonably required by the notified merger operation and should not be considered either necessary or ancillary, thus remaining subject to the general regulations applicable to agreements between companies. All of this in accordance with what is indicated in the aforementioned report proposal from the Competition Directorate.  </w:t>
        <w:br/>
        <w:t xml:space="preserve">This Resolution shall be communicated to the Competition Directorate of the National Commission of Markets and Competition and notified to the interested party, informing them that it concludes the administrative process and that a contentious-administrative appeal may be filed against it before the National Court, within two months from the day following its notification.  </w:t>
        <w:br/>
        <w:t xml:space="preserve">National Commission of Markets and Competition 2 of 2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