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https://www.cnmc.es/expedientes/c150524</w:t>
      </w:r>
    </w:p>
    <w:p>
      <w:r>
        <w:t>Pages translated : 2</w:t>
      </w:r>
    </w:p>
    <w:p/>
    <w:p>
      <w:r>
        <w:rPr>
          <w:b/>
        </w:rPr>
        <w:t>[Pages 1–2]</w:t>
      </w:r>
    </w:p>
    <w:p>
      <w:r>
        <w:t xml:space="preserve">C/1505/24  </w:t>
        <w:br/>
        <w:t xml:space="preserve">MASDAR ESPAÑA / GRUPO TER  </w:t>
        <w:br/>
        <w:t xml:space="preserve">RESOLUTION  </w:t>
        <w:br/>
        <w:t xml:space="preserve">FILE MASDAR ESPAÑA / GRUPO TER  </w:t>
        <w:br/>
        <w:t xml:space="preserve">(C/1505/24)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21, 2024</w:t>
      </w:r>
    </w:p>
    <w:p>
      <w:r>
        <w:t>The Competition Chamber has analyzed the merger file processed in accordance with Law 15/2007, of July 3, on the Defense of Competition, consisting of the acquisition of exclusive control by MASDAR ESPANA HOLDING 2 RSC LIMITED over TERP SPANISH HOLDCO, S.L.U. and dependent companies (Grupo TERP). In accordance with the report and proposal submitted by the Competition Directorate, the Competition Chamber has resolved, applying Article 57.2.a) of the aforementioned Law 15/2007, of July 3, to authorize the said merger operation.</w:t>
      </w:r>
    </w:p>
    <w:p>
      <w:r>
        <w:t>Likewise, taking into account the practice of the CNMC and what is established in the Commission Communication on restrictions directly linked to the execution of a merger and necessary for that purpose (2005/C 56/03); this Chamber indicates that, in the present case, they are not considered necessary for the execution of the operation nor accessory to it, remaining subject to the regulations on agreements between companies, the confidentiality clause regarding the seller's obligation concerning the information of the acquired business and in all that exceeds three (3) years of duration. All of this in accordance with what is indicated in the aforementioned report proposal of the Competition Directorate.</w:t>
      </w:r>
    </w:p>
    <w:p>
      <w:r>
        <w:t xml:space="preserve">National Commission of Markets and Competition 1 of 2  </w:t>
        <w:br/>
        <w:t xml:space="preserve">C/ Alcalá, 47 – 28014 Madrid - C/ Bolivia, 56 – 08018 Barcelona  </w:t>
        <w:br/>
        <w:t>www.cnmc.es</w:t>
      </w:r>
    </w:p>
    <w:p>
      <w:r>
        <w:t xml:space="preserve">C/1505/24  </w:t>
        <w:br/>
        <w:t xml:space="preserve">MASDAR ESPAÑA / GRUPO TER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