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Spanish</w:t>
      </w:r>
    </w:p>
    <w:p>
      <w:r>
        <w:t>Source URL       : https://www.cnmc.es/expedientes/c150724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C/1507/24  </w:t>
        <w:br/>
        <w:t xml:space="preserve">INVEREADY / AVATEL  </w:t>
        <w:br/>
        <w:t xml:space="preserve">RESOLUTION  </w:t>
        <w:br/>
        <w:t xml:space="preserve">FILE INVEREADY / AVATEL  </w:t>
        <w:br/>
        <w:t xml:space="preserve">(C/1507/24)  </w:t>
        <w:br/>
        <w:t>COUNCIL. COMPETITION CHAMBER</w:t>
      </w:r>
    </w:p>
    <w:p>
      <w:r>
        <w:t xml:space="preserve">President  </w:t>
        <w:br/>
        <w:t>Ms. Cani Fernández Vicién</w:t>
      </w:r>
    </w:p>
    <w:p>
      <w:r>
        <w:t xml:space="preserve">Counselors  </w:t>
        <w:br/>
        <w:t xml:space="preserve">Ms. María Jesús Martín Martínez  </w:t>
        <w:br/>
        <w:t xml:space="preserve">Mr. Bernardo Lorenzo Almendros  </w:t>
        <w:br/>
        <w:t>Mr. Xabier Ormaetxea Garai</w:t>
      </w:r>
    </w:p>
    <w:p>
      <w:r>
        <w:t xml:space="preserve">Secretary of the Council  </w:t>
        <w:br/>
        <w:t>Mr. Miguel Bordiu Garcia-Ovies</w:t>
      </w:r>
    </w:p>
    <w:p>
      <w:r>
        <w:t>In Madrid, December 18, 2024</w:t>
      </w:r>
    </w:p>
    <w:p>
      <w:r>
        <w:t>The Competition Chamber has analyzed the concentration file processed in accordance with Law 15/2007, of July 3, on the Defense of Competition, consisting of the acquisition by Inveready Asset Management S.G.E.I.C., S.A. (INVEREADY), a company exclusively controlled by The Nimo’s Holding1 and Vaiia Kapital, S.L.U. (VAIIA), through Pangea Bidco, a company participated by both, of joint control over Avatel Telecom, S.A.U. (AVATEL), through the acquisition of 100% of its share capital2. In accordance with the report and proposal submitted by the Directorate of Competition, the Competition Chamber has resolved, applying Article 57.2.a) of the aforementioned Law 15/2007, of July 3, to authorize the aforementioned concentration operation.</w:t>
      </w:r>
    </w:p>
    <w:p>
      <w:r>
        <w:t xml:space="preserve">This Resolution shall be communicated to the Directorate of Competition of the National Commission on Markets and Competition and notified to the interested party,  </w:t>
        <w:br/>
        <w:t xml:space="preserve">1 The exclusive control of The Nimo’s Holding is held by Mr. Josep Maria Echarri who owns 51.55% of the share capital of the company.  </w:t>
        <w:br/>
        <w:t xml:space="preserve">2 The operation that gives rise to the concentration includes the following actions:  </w:t>
        <w:br/>
        <w:t xml:space="preserve">([CONFIDENTIAL])  </w:t>
        <w:br/>
        <w:t xml:space="preserve">National Commission on Markets and Competition 1 of 2  </w:t>
        <w:br/>
        <w:t xml:space="preserve">C/ Alcalá, 47 – 28014 Madrid - C/ Bolivia, 56 – 08018 Barcelona  </w:t>
        <w:br/>
        <w:t>www.cnmc.es</w:t>
      </w:r>
    </w:p>
    <w:p>
      <w:r>
        <w:t xml:space="preserve">C/1507/24  </w:t>
        <w:br/>
        <w:t xml:space="preserve">INVEREADY / AVATEL  </w:t>
        <w:br/>
        <w:t xml:space="preserve">informing them that it concludes the administrative route and that a contentious-administrative appeal may be filed against it before the National Court, within two months from the day following its notification.  </w:t>
        <w:br/>
        <w:t xml:space="preserve">National Commission on Markets and Competition 2 of 2  </w:t>
        <w:br/>
        <w:t xml:space="preserve">C/ Alcalá, 47 – 28014 Madrid - C/ Bolivia, 56 – 08018 Barcelona  </w:t>
        <w:br/>
        <w:t>www.cnmc.es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