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https://www.cnmc.es/expedientes/c150824</w:t>
      </w:r>
    </w:p>
    <w:p>
      <w:r>
        <w:t>Pages translated : 2</w:t>
      </w:r>
    </w:p>
    <w:p/>
    <w:p>
      <w:r>
        <w:rPr>
          <w:b/>
        </w:rPr>
        <w:t>[Pages 1–2]</w:t>
      </w:r>
    </w:p>
    <w:p>
      <w:r>
        <w:t xml:space="preserve">C/1508/24  </w:t>
        <w:br/>
        <w:t xml:space="preserve">SERVEO / DOMINION INDUSTRY &amp; INFRASTRUCTURES  </w:t>
        <w:br/>
        <w:t xml:space="preserve">RESOLUTION  </w:t>
        <w:br/>
        <w:t xml:space="preserve">FILE SERVEO / DOMINION INDUSTRY &amp; INFRASTRUCTURES  </w:t>
        <w:br/>
        <w:t xml:space="preserve">(C/1508/24)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November 29, 2024</w:t>
      </w:r>
    </w:p>
    <w:p>
      <w:r>
        <w:t>The Competition Chamber has analyzed the merger file processed in accordance with Law 15/2007, of July 3, on the Defense of Competition, consisting of the acquisition of exclusive control of the business of Dominion Industry &amp; Infrastructures by the company Serveo Servicios S.A.U. In accordance with the report and proposal submitted by the Competition Directorate, the Competition Chamber has resolved, applying Article 57.2.a) of the aforementioned Law 15/2007, of July 3, to authorize the said merger operation.</w:t>
      </w:r>
    </w:p>
    <w:p>
      <w:r>
        <w:t>Likewise, taking into account the practice of the CNMC and what is established in the Commission Communication on restrictions directly linked to the execution of a merger and necessary for that purpose (2005/C 56/03); this Chamber considers that, in the present case, the temporal scope of the non-compete, non-solicitation, and confidentiality clauses, to the extent that it exceeds the period of two years, goes beyond what is reasonably required by the notified merger operation, and is therefore subject to the general regulations applicable to agreements between companies. On the other hand, it is considered that the geographical scope of the non-solicitation and confidentiality clauses should not exceed the national market. All of this 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1 The CNMC is not competent to assess ancillary restrictions in geographical areas that exceed the national market.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