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https://www.cnmc.es/expedientes/c150924</w:t>
      </w:r>
    </w:p>
    <w:p>
      <w:r>
        <w:t>Pages translated : 2</w:t>
      </w:r>
    </w:p>
    <w:p/>
    <w:p>
      <w:r>
        <w:rPr>
          <w:b/>
        </w:rPr>
        <w:t>[Pages 1–2]</w:t>
      </w:r>
    </w:p>
    <w:p>
      <w:r>
        <w:t xml:space="preserve">C/1509/24  </w:t>
        <w:br/>
        <w:t xml:space="preserve">FRAGADÍS, S.L.U. / KUUPS DESIGN INTERNATIONAL, S.L.U.  </w:t>
        <w:br/>
        <w:t xml:space="preserve">RESOLUTION  </w:t>
        <w:br/>
        <w:t xml:space="preserve">FILE FRAGADÍS S.L.U./ KUUPS DESIGN INTERNATIONAL S.L.U.  </w:t>
        <w:br/>
        <w:t xml:space="preserve">(C/1509/24)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November 29, 2024</w:t>
      </w:r>
    </w:p>
    <w:p>
      <w:r>
        <w:t>The Competition Chamber has analyzed the concentration file processed in accordance with Law 15/2007, of July 3, on the Defense of Competition, consisting of the acquisition of exclusive control by FRAGADÍS, S.L.U., of 30 supermarkets operated by KUUPS DESIGN INTERNATIONAL, S.L.U. In accordance with the report and proposal submitted by the Competition Directorate, the Competition Chamber has resolved, in application of Article 57.2.a) of the aforementioned Law 15/2007, of July 3, to authorize the said concentration operation.</w:t>
      </w:r>
    </w:p>
    <w:p>
      <w:r>
        <w:t>Likewise, taking into account the practice of the CNMC and what is established in the Communication of the Commission regarding restrictions directly linked to the execution of a concentration and necessary for that purpose (2005/C 56/03); this Chamber considers that, in the present case, the non-compete clause would exceed what is included in the aforementioned Communication regarding (i) its material scope, in that it exceeds the products and services of the acquired party, and (ii) its geographical scope, in that it exceeds the municipalities in which the acquired party was operating. Therefore, both issues would go beyond what is reasonably required by the notified concentration operation and should not be considered either necessary or accessory, thus remaining subject to the general regulations applicable to agreements between companies. All of this in accordance with what is indicated in the aforementioned report proposal of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