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https://www.cnmc.es/expedientes/c151024</w:t>
      </w:r>
    </w:p>
    <w:p>
      <w:r>
        <w:t>Pages translated : 1</w:t>
      </w:r>
    </w:p>
    <w:p/>
    <w:p>
      <w:r>
        <w:rPr>
          <w:b/>
        </w:rPr>
        <w:t>[Pages 1–1]</w:t>
      </w:r>
    </w:p>
    <w:p>
      <w:r>
        <w:t xml:space="preserve">C/1510/24  </w:t>
        <w:br/>
        <w:t xml:space="preserve">CONSUM / KUUPS ASSETS  </w:t>
        <w:br/>
        <w:t xml:space="preserve">RESOLUTION  </w:t>
        <w:br/>
        <w:t xml:space="preserve">FILE CONSUM / KUUPS ASSETS  </w:t>
        <w:br/>
        <w:t xml:space="preserve">(C/1510/24)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on December 11, 2024</w:t>
      </w:r>
    </w:p>
    <w:p>
      <w:r>
        <w:t>The Competition Chamber has analyzed the concentration file processed in accordance with Law 15/2007, of July 3, on the Defense of Competition, consisting of the acquisition by CONSUM, S. COOP. V of exclusive control of the assets and rights linked to the operation of 9 retail supermarkets for daily consumer goods of KUUPS DESIGN INTERNATIONAL, SL. According to the report and the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