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https://www.cnmc.es/expedientes/c151224</w:t>
      </w:r>
    </w:p>
    <w:p>
      <w:r>
        <w:t>Pages translated : 1</w:t>
      </w:r>
    </w:p>
    <w:p/>
    <w:p>
      <w:r>
        <w:rPr>
          <w:b/>
        </w:rPr>
        <w:t>[Pages 1–1]</w:t>
      </w:r>
    </w:p>
    <w:p>
      <w:r>
        <w:t xml:space="preserve">C/1512/24  </w:t>
        <w:br/>
        <w:t xml:space="preserve">MIURA PARTNERS SGEIC / HEALTHTECH HTBA HOLDING  </w:t>
        <w:br/>
        <w:t xml:space="preserve">RESOLUTION  </w:t>
        <w:br/>
        <w:t xml:space="preserve">FILE MIURA PARTNERS SGEIC / HEALTHTECH HTBA HOLDING  </w:t>
        <w:br/>
        <w:t xml:space="preserve">(C/1512/24)  </w:t>
        <w:br/>
        <w:t xml:space="preserve">COUNCIL. COMPETITION CHAMBER  </w:t>
        <w:br/>
        <w:t xml:space="preserve">President  </w:t>
        <w:br/>
        <w:t xml:space="preserve">Ms. Cani Fernández Vicién  </w:t>
        <w:br/>
        <w:t xml:space="preserve">Councilors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Barcelona, December 11, 2024  </w:t>
        <w:br/>
        <w:t xml:space="preserve">The Competition Chamber has analyzed the merger file processed in accordance with Law 15/2007, of July 3, on the Defense of Competition, consisting of the indirect acquisition by MIURA PARTNERS SGEIC S.A (MIURA) through MIURA FUND IV F.C.R, of the exclusive control of HEALTHTECH HTBA HOLDING, S.L (HTBA). In accordance with the report and proposal submitted by the Directorate of Competition, the Competition Chamber has resolved, under the application of Article 57.2.a) of the aforementioned Law 15/2007, of July 3, to authorize the aforementioned merger operation.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