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https://www.cnmc.es/expedientes/c151324</w:t>
      </w:r>
    </w:p>
    <w:p>
      <w:r>
        <w:t>Pages translated : 1</w:t>
      </w:r>
    </w:p>
    <w:p/>
    <w:p>
      <w:r>
        <w:rPr>
          <w:b/>
        </w:rPr>
        <w:t>[Pages 1–1]</w:t>
      </w:r>
    </w:p>
    <w:p>
      <w:r>
        <w:t xml:space="preserve">C/1513/24  </w:t>
        <w:br/>
        <w:t xml:space="preserve">URBASER / STERICYCLE SPAIN AND PORTUGAL  </w:t>
        <w:br/>
        <w:t xml:space="preserve">RESOLUTION  </w:t>
        <w:br/>
        <w:t xml:space="preserve">FILE URBASER / STERICYCLE SPAIN AND PORTUGAL  </w:t>
        <w:br/>
        <w:t xml:space="preserve">(C/1513/24)  </w:t>
        <w:br/>
        <w:t xml:space="preserve">COUNCIL. COMPETITION CHAMBER  </w:t>
        <w:br/>
        <w:t xml:space="preserve">President  </w:t>
        <w:br/>
        <w:t xml:space="preserve">Ms. Cani Fernández Vicién  </w:t>
        <w:br/>
        <w:t xml:space="preserve">Counselors  </w:t>
        <w:br/>
        <w:t xml:space="preserve">Ms. María Jesús Martín Martínez  </w:t>
        <w:br/>
        <w:t xml:space="preserve">Mr. Bernardo Lorenzo Almendros  </w:t>
        <w:br/>
        <w:t xml:space="preserve">Mr. Xabier Ormaetxea Garai  </w:t>
        <w:br/>
        <w:t xml:space="preserve">Secretary of the Council  </w:t>
        <w:br/>
        <w:t xml:space="preserve">Mr. Miguel Bordiu Garcia-Ovies  </w:t>
        <w:br/>
        <w:t xml:space="preserve">In Barcelona, December 11, 2024  </w:t>
        <w:br/>
        <w:t xml:space="preserve">The Competition Chamber has analyzed the merger file processed in accordance with Law 15/2007, of July 3, on the Defense of Competition, consisting of the acquisition of exclusive control by URBASER, S.A.U. of STERICYCLE SPAIN and STERICYCLE PORTUGAL. In accordance with the report and proposal submitted by the Competition Directorate, the Competition Chamber has resolved, in application of Article 57.2.a) of the aforementioned Law 15/2007, of July 3, to authorize the said merger operation.  </w:t>
        <w:br/>
        <w:t xml:space="preserve">This Resolution shall be communicated to the Competition Directorate of the National Commission on Markets and Competition and notified to the interested party, informing them that it concludes the administrative process and that a contentious-administrative appeal may be filed against it before the National Court, within two months from the day following its notification.  </w:t>
        <w:br/>
        <w:t xml:space="preserve">National Commission on Markets and Competition 1 of 1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