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https://www.cnmc.es/expedientes/c151424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C/1514/24  </w:t>
        <w:br/>
        <w:t xml:space="preserve">ZURICH HOTEL INVESTMENTS / MANAGEMENT HOTELERO  </w:t>
        <w:br/>
        <w:t xml:space="preserve">PIÑERO  </w:t>
        <w:br/>
        <w:t xml:space="preserve">RESOLUTION  </w:t>
        <w:br/>
        <w:t xml:space="preserve">FILE ZURICH HOTEL INVESTMENTS / MANAGEMENT  </w:t>
        <w:br/>
        <w:t xml:space="preserve">HOTELERO PIÑERO  </w:t>
        <w:br/>
        <w:t xml:space="preserve">(C/1514/24)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Councilors  </w:t>
        <w:br/>
        <w:t xml:space="preserve">Ms. María Jesús Martín Martínez  </w:t>
        <w:br/>
        <w:t xml:space="preserve">Mr. Bernardo Lorenzo Almendros  </w:t>
        <w:br/>
        <w:t xml:space="preserve">Mr. Xabier Ormaetxea Garai  </w:t>
        <w:br/>
        <w:t xml:space="preserve">Secretary of the Council  </w:t>
        <w:br/>
        <w:t xml:space="preserve">Mr. Miguel Bordiu Garcia-Ovies  </w:t>
        <w:br/>
        <w:t xml:space="preserve">In Barcelona, December 11, 2024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regarding the economic concentration operation by which the company Zurich  </w:t>
        <w:br/>
        <w:t xml:space="preserve">Hotel Investments B.V. acquires exclusive control of Management Hotelero  </w:t>
        <w:br/>
        <w:t xml:space="preserve">Piñero S.L. In accordance with the report and proposal submitted by the  </w:t>
        <w:br/>
        <w:t xml:space="preserve">Directorate of Competition, the Competition Chamber has resolved, applying Article  </w:t>
        <w:br/>
        <w:t xml:space="preserve">57.2.a) of the aforementioned Law 15/2007, of July 3, to authorize the said  </w:t>
        <w:br/>
        <w:t xml:space="preserve">concentration operation.  </w:t>
        <w:br/>
        <w:t xml:space="preserve">Likewise, taking into account the practice of the CNMC and what is established in the  </w:t>
        <w:br/>
        <w:t xml:space="preserve">Commission Communication on restrictions directly linked to the execution of a  </w:t>
        <w:br/>
        <w:t xml:space="preserve">concentration and necessary for that purpose (2005/C 56/03); this Chamber considers  </w:t>
        <w:br/>
        <w:t xml:space="preserve">that, in the present case, both the material scope of the non-compete clause (in  </w:t>
        <w:br/>
        <w:t xml:space="preserve">regard to prohibiting the seller from carrying out activities that the target was not  </w:t>
        <w:br/>
        <w:t xml:space="preserve">performing) and the non-solicitation clause (insofar as it affects the buyer), as well  </w:t>
        <w:br/>
        <w:t xml:space="preserve">as the geographical scope of both clauses (since it must be limited to the island of  </w:t>
        <w:br/>
        <w:t xml:space="preserve">Tenerife and Mallorca) and the temporal scope of both clauses (since it exceeds two  </w:t>
        <w:br/>
        <w:t xml:space="preserve">years), would go beyond what is reasonably required by the notified concentration  </w:t>
        <w:br/>
        <w:t xml:space="preserve">operation, and therefore are subject to the general regulations applicable to  </w:t>
        <w:br/>
        <w:t xml:space="preserve">agreements between companies.  </w:t>
        <w:br/>
        <w:t xml:space="preserve">All of this in accordance with what is indicated in the aforementioned report proposal  </w:t>
        <w:br/>
        <w:t xml:space="preserve">of the Directorate of Competition.  </w:t>
        <w:br/>
        <w:t xml:space="preserve">This Resolution shall be communicated to the Directorate of Competition of the  </w:t>
        <w:br/>
        <w:t xml:space="preserve">National Commission of Markets and Competition and notified to the interested party,  </w:t>
        <w:br/>
        <w:t xml:space="preserve">informing them that it concludes the administrative process and that a contentious-administrative appeal may be filed against it before the National Court, within two  </w:t>
        <w:br/>
        <w:t xml:space="preserve">months from the day following its notification.  </w:t>
        <w:br/>
        <w:t xml:space="preserve">National Commission of Markets and Competition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