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https://www.cnmc.es/expedientes/c151524</w:t>
      </w:r>
    </w:p>
    <w:p>
      <w:r>
        <w:t>Pages translated : 2</w:t>
      </w:r>
    </w:p>
    <w:p/>
    <w:p>
      <w:r>
        <w:rPr>
          <w:b/>
        </w:rPr>
        <w:t>[Pages 1–2]</w:t>
      </w:r>
    </w:p>
    <w:p>
      <w:r>
        <w:t>RESOLUTION</w:t>
        <w:br/>
        <w:t>FILE GLINTT / CS&amp;M / MONSEGUR</w:t>
        <w:br/>
        <w:t>(C/1515/24)</w:t>
        <w:br/>
        <w:t>COUNCIL. COMPETITION CHAMBER</w:t>
      </w:r>
    </w:p>
    <w:p>
      <w:r>
        <w:t>President</w:t>
        <w:br/>
        <w:t>Ms. Cani Fernández Vicién</w:t>
      </w:r>
    </w:p>
    <w:p>
      <w:r>
        <w:t>Councilors</w:t>
        <w:br/>
        <w:t>Ms. María Jesús Martín Martínez</w:t>
        <w:br/>
        <w:t>Mr. Bernardo Lorenzo Almendros</w:t>
        <w:br/>
        <w:t>Mr. Xabier Ormaetxea Garai</w:t>
      </w:r>
    </w:p>
    <w:p>
      <w:r>
        <w:t>Secretary of the Council</w:t>
        <w:br/>
        <w:t>Mr. Miguel Bordiu Garcia-Ovies</w:t>
      </w:r>
    </w:p>
    <w:p>
      <w:r>
        <w:t>In Madrid, December 18, 2024</w:t>
      </w:r>
    </w:p>
    <w:p>
      <w:r>
        <w:t>The Competition Chamber has analyzed the concentration file processed in accordance with Law 15/2007, of July 3, on the Defense of Competition, regarding the economic concentration operation consisting of the acquisition by GLINTT ESPAÑA, S.L.U (GLINTT) of 30% of the share capital of CONTROL DE SISTEMAS Y MICROINFORMÁTICA, S.L.U (CS&amp;M), which will grant GLINTT joint control over CS&amp;M. According to the report and the proposal submitted by the Directorate of Competition, the Competition Chamber has resolved, in application of Article 57.2.a) of the aforementioned Law 15/2007, of July 3, to authorize the said concentration operation.</w:t>
      </w:r>
    </w:p>
    <w:p>
      <w:r>
        <w:t>Likewise, taking into account the practice of the CNMC and what is established in the Communication of the Commission on restrictions directly linked to the execution of a concentration and necessary for that purpose (2005/C 56/03); this Chamber considers that, in the present case, in relation to the confidentiality clause contained in clause 14 of the Shareholders' Agreement, it is subject to the regulations on agreements between companies in all that exceeds, both in its content and in its duration. All of this in accordance with what is indicated in the aforementioned report proposal of the Directorate of Competition.</w:t>
      </w:r>
    </w:p>
    <w:p>
      <w:r>
        <w:t>NATIONAL COMMISSION OF MARKETS AND COMPETITION 1 of 2</w:t>
        <w:br/>
        <w:t>C/ Alcalá, 47 – 28014 Madrid - C/ Bolivia, 56 – 08018 Barcelona</w:t>
        <w:br/>
        <w:t>www.cnmc.es</w:t>
      </w:r>
    </w:p>
    <w:p>
      <w:r>
        <w:t>C/1515/24</w:t>
        <w:br/>
        <w:t>GLINTT / CS&amp;M / MONSEGUR</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NATIONAL COMMISSION OF MARKETS AND COMPETITION 2 of 2</w:t>
        <w:br/>
        <w:t>C/ Alcalá, 47 – 28014 Madrid - C/ Bolivia, 56 – 08018 Barcelona</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