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https://www.cnmc.es/expedientes/c151624</w:t>
      </w:r>
    </w:p>
    <w:p>
      <w:r>
        <w:t>Pages translated : 1</w:t>
      </w:r>
    </w:p>
    <w:p/>
    <w:p>
      <w:r>
        <w:rPr>
          <w:b/>
        </w:rPr>
        <w:t>[Pages 1–1]</w:t>
      </w:r>
    </w:p>
    <w:p>
      <w:r>
        <w:t xml:space="preserve">C/1516/24  </w:t>
        <w:br/>
        <w:t xml:space="preserve">SUDARSHAN/HEUBACH GROUP  </w:t>
        <w:br/>
        <w:t xml:space="preserve">RESOLUTION  </w:t>
        <w:br/>
        <w:t xml:space="preserve">FILE SUDARSHAN/HEUBACH GROUP  </w:t>
        <w:br/>
        <w:t xml:space="preserve">(C/1516/24)  </w:t>
        <w:br/>
        <w:t xml:space="preserve">COUNCIL. COMPETITION CHAMBER  </w:t>
        <w:br/>
        <w:t xml:space="preserve">President  </w:t>
        <w:br/>
        <w:t xml:space="preserve">Ms. Cani Fernández Vicién  </w:t>
        <w:br/>
        <w:t xml:space="preserve">Counselors  </w:t>
        <w:br/>
        <w:t xml:space="preserve">Mr. Bernardo Lorenzo Almendros  </w:t>
        <w:br/>
        <w:t xml:space="preserve">Mr. Xabier Ormaetxea Garai  </w:t>
        <w:br/>
        <w:t xml:space="preserve">Ms. Pilar Sánchez Núñez  </w:t>
        <w:br/>
        <w:t xml:space="preserve">Secretary of the Council  </w:t>
        <w:br/>
        <w:t xml:space="preserve">Mr. Miguel Bordiu Garcia-Ovies  </w:t>
        <w:br/>
        <w:t xml:space="preserve">In Madrid, January 9, 2025  </w:t>
        <w:br/>
        <w:t xml:space="preserve">The Competition Chamber has analyzed the merger file processed in accordance with Law 15/2007, of July 3, on the Defense of Competition, regarding the economic concentration operation consisting of the acquisition of exclusive control by Sudarshan Europe B.V. (SUDARSHAN) of Heubach Holding S.À.R.L. and all its direct and indirect subsidiaries (HEUBACH GROUP). In accordance with the report and proposal submitted by the Directorate of Competition, the Competition Chamber has resolved, pursuant to Article 57.2.a) of the aforementioned Law 15/2007, of July 3, to authorize the said concentration operation.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