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https://www.cnmc.es/expedientes/c151724</w:t>
      </w:r>
    </w:p>
    <w:p>
      <w:r>
        <w:t>Pages translated : 2</w:t>
      </w:r>
    </w:p>
    <w:p/>
    <w:p>
      <w:r>
        <w:rPr>
          <w:b/>
        </w:rPr>
        <w:t>[Pages 1–2]</w:t>
      </w:r>
    </w:p>
    <w:p>
      <w:r>
        <w:t xml:space="preserve">C/1517/24  </w:t>
        <w:br/>
        <w:t xml:space="preserve">ITAB / HMY SAS  </w:t>
        <w:br/>
        <w:t xml:space="preserve">RESOLUTION  </w:t>
        <w:br/>
        <w:t xml:space="preserve">FILE ITAB / HMY SAS  </w:t>
        <w:br/>
        <w:t xml:space="preserve">(C/1517/24)  </w:t>
        <w:br/>
        <w:t>COUNCIL. COMPETITION CHAMBER</w:t>
      </w:r>
    </w:p>
    <w:p>
      <w:r>
        <w:t xml:space="preserve">President  </w:t>
        <w:br/>
        <w:t>Ms. Cani Fernández Vicién</w:t>
      </w:r>
    </w:p>
    <w:p>
      <w:r>
        <w:t xml:space="preserve">Councilors  </w:t>
        <w:br/>
        <w:t xml:space="preserve">Mr. Bernardo Lorenzo Almendros  </w:t>
        <w:br/>
        <w:t xml:space="preserve">Mr. Xabier Ormaetxea Garai  </w:t>
        <w:br/>
        <w:t>Ms. Pilar Sánchez Núñez</w:t>
      </w:r>
    </w:p>
    <w:p>
      <w:r>
        <w:t xml:space="preserve">Secretary of the Council  </w:t>
        <w:br/>
        <w:t>Mr. Miguel Bordiu Garcia-Ovies</w:t>
      </w:r>
    </w:p>
    <w:p>
      <w:r>
        <w:t>In Madrid, January 9, 2025</w:t>
      </w:r>
    </w:p>
    <w:p>
      <w:r>
        <w:t>The Competition Chamber has analyzed the merger file processed in accordance with Law 15/2007, of July 3, on the Defense of Competition, concerning the economic concentration operation consisting of the acquisition by ITAB Shop Concept AB of exclusive control over Financière HMY SAS, through the acquisition of 100% of its share capital. In accordance with the report and proposal submitted by the Competition Directorate, the Competition Chamber has resolved, pursuant to Article 57.2.a) of the aforementioned Law 15/2007, of July 3, to authorize the said concentration operation.</w:t>
      </w:r>
    </w:p>
    <w:p>
      <w:r>
        <w:t>Likewise, taking into account the practice of the CNMC and what is established in the Commission Communication on restrictions directly linked to the execution of a concentration and necessary for that purpose (2005/C 56/03); this Chamber considers that, in the present case, regarding the confidentiality clause included in the purchase agreement, it exceeds the limits provided for accessory restrictions, being considered restrictive but accessory for up to two years from the closing date of the operation and subject to general regulations on agreements between companies to the extent that it exceeds that period. All of this in accordance with what is indicated in the aforementioned report proposal from the Competition Directorate.</w:t>
      </w:r>
    </w:p>
    <w:p>
      <w:r>
        <w:t xml:space="preserve">National Commission of Markets and Competition 1 of 2  </w:t>
        <w:br/>
        <w:t xml:space="preserve">C/ Alcalá, 47 – 28014 Madrid - C/ Bolivia, 56 – 08018 Barcelona  </w:t>
        <w:br/>
        <w:t>www.cnmc.es</w:t>
      </w:r>
    </w:p>
    <w:p>
      <w:r>
        <w:t xml:space="preserve">C/1517/24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