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https://www.cnmc.es/expedientes/c151824</w:t>
      </w:r>
    </w:p>
    <w:p>
      <w:r>
        <w:t>Pages translated : 1</w:t>
      </w:r>
    </w:p>
    <w:p/>
    <w:p>
      <w:r>
        <w:rPr>
          <w:b/>
        </w:rPr>
        <w:t>[Pages 1–1]</w:t>
      </w:r>
    </w:p>
    <w:p>
      <w:r>
        <w:t xml:space="preserve">C/1518/24  </w:t>
        <w:br/>
        <w:t xml:space="preserve">MAVCO / HUBERGROUP  </w:t>
        <w:br/>
        <w:t xml:space="preserve">RESOLUTION  </w:t>
        <w:br/>
        <w:t xml:space="preserve">FILE MAVCO / HUBERGROUP  </w:t>
        <w:br/>
        <w:t xml:space="preserve">(C/1518/24)  </w:t>
        <w:br/>
        <w:t xml:space="preserve">COUNCIL. COMPETITION CHAMBER  </w:t>
        <w:br/>
        <w:t xml:space="preserve">President  </w:t>
        <w:br/>
        <w:t xml:space="preserve">Ms. Cani Fernández Vicién  </w:t>
        <w:br/>
        <w:t xml:space="preserve">Counselors  </w:t>
        <w:br/>
        <w:t xml:space="preserve">Mr. Bernardo Lorenzo Almendros  </w:t>
        <w:br/>
        <w:t xml:space="preserve">Mr. Xabier Ormaetxea Garai  </w:t>
        <w:br/>
        <w:t xml:space="preserve">Ms. Pilar Sánchez Núñez  </w:t>
        <w:br/>
        <w:t xml:space="preserve">Secretary of the Council  </w:t>
        <w:br/>
        <w:t xml:space="preserve">Mr. Miguel Bordiu Garcia-Ovies  </w:t>
        <w:br/>
        <w:t xml:space="preserve">In Madrid, January 9, 2025  </w:t>
        <w:br/>
        <w:t xml:space="preserve">The Competition Chamber has analyzed the concentration file processed in accordance with Law 15/2007, of July 3, on the Defense of Competition, regarding the economic concentration operation consisting of the acquisition of exclusive control by MAVCO INVESTMENTS PRIVATE (MAVCO) of MHM HOLDING GESELLSCHAFT MIT BESCHRÄNKTER HAFTUNG (MHM HOLDING) and its subsidiaries (collectively referred to as HUBERGROUP). In accordance with the report and proposal submitted by the Directorate of Competition, the Competition Chamber has resolved, under the application of Article 57.2.a) of the aforementioned Law 15/2007, of July 3, to authorize the aforementioned concentration operation.  </w:t>
        <w:br/>
        <w:t xml:space="preserve">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  </w:t>
        <w:br/>
        <w:t xml:space="preserve">National Commission on Markets and Competition 1 of 1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