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https://www.cnmc.es/expedientes/c151924</w:t>
      </w:r>
    </w:p>
    <w:p>
      <w:r>
        <w:t>Pages translated : 2</w:t>
      </w:r>
    </w:p>
    <w:p/>
    <w:p>
      <w:r>
        <w:rPr>
          <w:b/>
        </w:rPr>
        <w:t>[Pages 1–2]</w:t>
      </w:r>
    </w:p>
    <w:p>
      <w:r>
        <w:t xml:space="preserve">C/1519/24  </w:t>
        <w:br/>
        <w:t xml:space="preserve">GRIÑÓ / RATOR  </w:t>
        <w:br/>
        <w:t xml:space="preserve">RESOLUTION  </w:t>
        <w:br/>
        <w:t xml:space="preserve">FILE GRIÑÓ / RATOR  </w:t>
        <w:br/>
        <w:t xml:space="preserve">(C/1519/24)  </w:t>
        <w:br/>
        <w:t xml:space="preserve">COUNCIL. COMPETITION CHAMBER  </w:t>
        <w:br/>
        <w:t xml:space="preserve">President  </w:t>
        <w:br/>
        <w:t xml:space="preserve">Ms. Cani Fernández Vicién  </w:t>
        <w:br/>
        <w:t xml:space="preserve">Counselors  </w:t>
        <w:br/>
        <w:t xml:space="preserve">Mr. Bernardo Lorenzo Almendros  </w:t>
        <w:br/>
        <w:t xml:space="preserve">Mr. Xabier Ormaetxea Garai  </w:t>
        <w:br/>
        <w:t xml:space="preserve">Ms. Pilar Sánchez Núñez  </w:t>
        <w:br/>
        <w:t xml:space="preserve">Secretary of the Council  </w:t>
        <w:br/>
        <w:t xml:space="preserve">Mr. Miguel Bordiu Garcia-Ovies  </w:t>
        <w:br/>
        <w:t xml:space="preserve">In Madrid, January 9, 2025  </w:t>
        <w:br/>
        <w:t xml:space="preserve">The Competition Chamber has analyzed the concentration file processed in accordance with Law 15/2007, of July 3, on the Defense of Competition, regarding the economic concentration operation1 consisting of the acquisition of exclusive control by NATURGREENKAPITAL, S.L.U. and CORPORACIÓ GRIÑÓ, S.L. (hereinafter, Grupo GRIÑÓ) of RATOR CAPITAL, S.L. and its subsidiaries2 (hereinafter, Grupo RATOR) and ELACON, S.A3. In accordance with the report and the proposal submitted by the Directorate of Competition, the Competition Chamber has resolved, applying Article 57.2.a) of the aforementioned Law 15/2007, of July 3, to authorize the aforementioned concentration operation.  </w:t>
        <w:br/>
        <w:t xml:space="preserve">This Resolution shall be communicated to the Directorate of Competition of the National Commission of Markets and Competition and notified to the interested party, informing them that it concludes the administrative procedure and that they may  </w:t>
        <w:br/>
        <w:t xml:space="preserve">1 Resolution rectified by Agreement dated January 15, 2025.  </w:t>
        <w:br/>
        <w:t xml:space="preserve">2 Among which are, RECUPERACIÓ INTEGRAL DE CATALUNYA, S.L.U., SOCIEDAD ANDALUZA DE PRODUCCIONES SOSTENIBLES, S.L.U., EUROGESTIÓN DE AUTORESIDUOS, S.L.U. and AZOR AMBIENTAL, S.A.U., around which the activity of the Group revolves.  </w:t>
        <w:br/>
        <w:t xml:space="preserve">3 This company is owned by the same shareholders (individuals) as RATOR S.L.  </w:t>
        <w:br/>
        <w:t xml:space="preserve">National Commission of Markets and Competition 1 of 2  </w:t>
        <w:br/>
        <w:t xml:space="preserve">C/ Alcalá, 47 – 28014 Madrid - C/ Bolivia, 56 – 08018 Barcelona  </w:t>
        <w:br/>
        <w:t>www.cnmc.es</w:t>
      </w:r>
    </w:p>
    <w:p>
      <w:r>
        <w:t xml:space="preserve">C/1519/24  </w:t>
        <w:br/>
        <w:t xml:space="preserve">GRIÑÓ / RATOR  </w:t>
        <w:br/>
        <w:t xml:space="preserve">file a contentious-administrative appeal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