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https://www.cnmc.es/expedientes/c152024</w:t>
      </w:r>
    </w:p>
    <w:p>
      <w:r>
        <w:t>Pages translated : 2</w:t>
      </w:r>
    </w:p>
    <w:p/>
    <w:p>
      <w:r>
        <w:rPr>
          <w:b/>
        </w:rPr>
        <w:t>[Pages 1–2]</w:t>
      </w:r>
    </w:p>
    <w:p>
      <w:r>
        <w:t xml:space="preserve">C/1520/24  </w:t>
        <w:br/>
        <w:t xml:space="preserve">INDRA / TESS  </w:t>
        <w:br/>
        <w:t xml:space="preserve">RESOLUTION  </w:t>
        <w:br/>
        <w:t xml:space="preserve">FILE INDRA / TESS  </w:t>
        <w:br/>
        <w:t xml:space="preserve">(C/1520/24)  </w:t>
        <w:br/>
        <w:t xml:space="preserve">COUNCIL. COMPETITION CHAMBER  </w:t>
        <w:br/>
        <w:t xml:space="preserve">President  </w:t>
        <w:br/>
        <w:t xml:space="preserve">Ms. Cani Fernández Vicién  </w:t>
        <w:br/>
        <w:t xml:space="preserve">Counselors  </w:t>
        <w:br/>
        <w:t xml:space="preserve">Mr. Bernardo Lorenzo Almendros  </w:t>
        <w:br/>
        <w:t xml:space="preserve">Mr. Xabier Ormaetxea Garai  </w:t>
        <w:br/>
        <w:t xml:space="preserve">Ms. Pilar Sánchez Núñez  </w:t>
        <w:br/>
        <w:t xml:space="preserve">Secretary of the Council  </w:t>
        <w:br/>
        <w:t xml:space="preserve">Mr. Miguel Bordiu Garcia-Ovies  </w:t>
        <w:br/>
        <w:t xml:space="preserve">In Madrid, January 9, 2025  </w:t>
        <w:br/>
        <w:t xml:space="preserve">The Competition Chamber has analyzed the merger file processed in accordance with Law 15/2007, of July 3, on the Defense of Competition, regarding the economic concentration operation consisting of the acquisition of exclusive control by INDRA SISTEMAS, S.A. of TESS DEFENCE, S.A., a company over which the acquirer already has joint control1. In accordance with the report and proposal submitted by the Competition Directorate, the Competition Chamber has resolved, applying Article 57.2.a) of the aforementioned Law 15/2007, of July 3, to authorize the aforementioned concentration operation.  </w:t>
        <w:br/>
        <w:t xml:space="preserve">Likewise, taking into account the practice of the CNMC and what is established in the Commission Communication on restrictions directly linked to the execution of a concentration and necessary for that purpose (2005/C 56/03); this Chamber considers that, in the present case, they are not deemed necessary for the execution of the operation nor accessory to it, remaining subject to the regulations on agreements between companies:  </w:t>
        <w:br/>
        <w:t xml:space="preserve">1 The concentration meets the requirements to be processed by abbreviated form as established in Article 56(1)(c) of Law 15/2007, of July 3, on the Defense of Competition.  </w:t>
        <w:br/>
        <w:t xml:space="preserve">National Commission of Markets and Competition 1 of 2  </w:t>
        <w:br/>
        <w:t xml:space="preserve">C/ Alcalá, 47 – 28014 Madrid - C/ Bolivia, 56 – 08018 Barcelona  </w:t>
        <w:br/>
        <w:t>www.cnmc.es</w:t>
      </w:r>
    </w:p>
    <w:p>
      <w:r>
        <w:t xml:space="preserve">C/1520/24  </w:t>
        <w:br/>
        <w:t xml:space="preserve">INDRA / TESS  </w:t>
        <w:br/>
        <w:t xml:space="preserve">- The competition clause in all that exceeds 3 years of duration and  </w:t>
        <w:br/>
        <w:t xml:space="preserve">- The confidentiality clause regarding: i) The seller's obligations related to the know-how, industrial and business secrets of the target, in all that exceeds 3 years of duration; and ii) the obligation of the buyer, target, and other partners regarding information related to the know-how, industrial and business secrets of the buyer and/or the other partners, in all that exceeds 2 years of duration.  </w:t>
        <w:br/>
        <w:t xml:space="preserve">All in accordance with what is indicated in the aforementioned report proposal of the Competition Directorate.  </w:t>
        <w:br/>
        <w:t xml:space="preserve">Communicate this Resolution to the Competition Directorate of the National Commission of Markets and Competition and notify the interested party, informing them that this concludes the administrative process and that a contentious-administrative appeal can be filed against it before the National Court, within two months from the day following its notification.  </w:t>
        <w:b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