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https://www.cnmc.es/expedientes/c152125</w:t>
      </w:r>
    </w:p>
    <w:p>
      <w:r>
        <w:t>Pages translated : 1</w:t>
      </w:r>
    </w:p>
    <w:p/>
    <w:p>
      <w:r>
        <w:rPr>
          <w:b/>
        </w:rPr>
        <w:t>[Pages 1–1]</w:t>
      </w:r>
    </w:p>
    <w:p>
      <w:r>
        <w:t>C/1521/25 ATLAS / SRG GLOBAL RESOLUTION FILE ATLAS / SRG GLOBAL (C/1521/25) COUNCIL. COMPETITION CHAMBER President Ms. Cani Fernández Vicién Councilors Mr. Bernardo Lorenzo Almendros Mr. Xabier Ormaetxea Garai Ms. Pilar Sánchez Núñez Secretary of the Council Mr. Miguel Bordiu Garcia-Ovies In Madrid, January 15, 2025 The Competition Chamber has analyzed the concentration file processed in accordance with Law 15/2007, of July 3, on the Defense of Competition, regarding the economic concentration operation consisting of the acquisition by ACR IV Auto Coatings I B.V., a company ultimately controlled by Atlas FRM LLC (ATLAS), of exclusive control of SRG Europe Investments, S.à.r.l., including its Spanish subsidiaries: i) SRG Global Spain, S.L.; (ii) SRG Global Liria, S.L.U.; and (iii) SRG Global IBI, S.L.U. and its affiliated entities (collectively, SRG GLOBAL), through the acquisition of 100% of its share capital. In accordance with the report and proposal submitted by the Directorate of Competition, the Competition Chamber has resolved, pursuant to Article 57.2.a) of the aforementioned Law 15/2007, of July 3, to authorize the aforementioned concentration operation. 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