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https://www.cnmc.es/expedientes/c152225</w:t>
      </w:r>
    </w:p>
    <w:p>
      <w:r>
        <w:t>Pages translated : 1</w:t>
      </w:r>
    </w:p>
    <w:p/>
    <w:p>
      <w:r>
        <w:rPr>
          <w:b/>
        </w:rPr>
        <w:t>[Pages 1–1]</w:t>
      </w:r>
    </w:p>
    <w:p>
      <w:r>
        <w:t xml:space="preserve">C/1522/25  </w:t>
        <w:br/>
        <w:t xml:space="preserve">ROMEU SHIPPING / GESPORT ATLANTIC  </w:t>
        <w:br/>
        <w:t xml:space="preserve">RESOLUTION  </w:t>
        <w:br/>
        <w:t xml:space="preserve">FILE ROMEU SHIPPING / GESPORT ATLANTIC  </w:t>
        <w:br/>
        <w:t xml:space="preserve">(C/1522/25)  </w:t>
        <w:br/>
        <w:t>COUNCIL. COMPETITION CHAMBER</w:t>
      </w:r>
    </w:p>
    <w:p>
      <w:r>
        <w:t xml:space="preserve">President  </w:t>
        <w:br/>
        <w:t>Ms. Cani Fernández Vicién</w:t>
      </w:r>
    </w:p>
    <w:p>
      <w:r>
        <w:t xml:space="preserve">Counselors  </w:t>
        <w:br/>
        <w:t xml:space="preserve">Mr. Bernardo Lorenzo Almendros  </w:t>
        <w:br/>
        <w:t xml:space="preserve">Mr. Xabier Ormaetxea Garai  </w:t>
        <w:br/>
        <w:t>Ms. Pilar Sánchez Núñez</w:t>
      </w:r>
    </w:p>
    <w:p>
      <w:r>
        <w:t xml:space="preserve">Secretary of the Council  </w:t>
        <w:br/>
        <w:t>Mr. Miguel Bordiu Garcia-Ovies</w:t>
      </w:r>
    </w:p>
    <w:p>
      <w:r>
        <w:t>In Madrid, January 15, 2025</w:t>
      </w:r>
    </w:p>
    <w:p>
      <w:r>
        <w:t>The Competition Chamber has analyzed the concentration file processed in accordance with Law 15/2007, of July 3, on the Defense of Competition, regarding the economic concentration operation consisting of the acquisition of exclusive control by ROMEU SHIPPING AGENCY, S.L. of the company GESPORT ATLANTIC, S.L., and certain subsidiaries controlled by said company1. In accordance with the report and the proposal submitted by the Directorate of Competition, the Competition Chamber has resolved, applying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1 Specifically, the subsidiaries Gesport Terminal Marítima S.L.; Gesport MACBSA, S.L. and Terminal Marítima de Arrecife, S.A.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